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end"/>
        <w:rPr>
          <w:lang w:eastAsia="en-US"/>
        </w:rPr>
      </w:pPr>
      <w:r>
        <w:rPr>
          <w:lang w:eastAsia="en-US"/>
        </w:rPr>
      </w:r>
    </w:p>
    <w:p>
      <w:pPr>
        <w:pStyle w:val="Footer"/>
        <w:tabs>
          <w:tab w:val="clear" w:pos="9638"/>
          <w:tab w:val="center" w:pos="4819" w:leader="none"/>
        </w:tabs>
        <w:rPr/>
      </w:pPr>
      <w:r>
        <w:rPr/>
      </w:r>
    </w:p>
    <w:p>
      <w:pPr>
        <w:pStyle w:val="Normal"/>
        <w:tabs>
          <w:tab w:val="clear" w:pos="720"/>
          <w:tab w:val="left" w:pos="6946" w:leader="none"/>
        </w:tabs>
        <w:rPr/>
      </w:pPr>
      <w:r>
        <w:rPr/>
      </w:r>
    </w:p>
    <w:p>
      <w:pPr>
        <w:pStyle w:val="Footer"/>
        <w:tabs>
          <w:tab w:val="clear" w:pos="9638"/>
          <w:tab w:val="center" w:pos="4819" w:leader="none"/>
          <w:tab w:val="left" w:pos="8160" w:leader="none"/>
        </w:tabs>
        <w:jc w:val="center"/>
        <w:rPr/>
      </w:pPr>
      <w:bookmarkStart w:id="0" w:name="_Hlk109835834"/>
      <w:r>
        <w:rPr>
          <w:lang w:eastAsia="it-IT"/>
        </w:rPr>
        <w:t xml:space="preserve">  </w:t>
      </w:r>
      <w:r>
        <w:rPr/>
        <w:drawing>
          <wp:inline distT="0" distB="0" distL="0" distR="0">
            <wp:extent cx="1645920" cy="436880"/>
            <wp:effectExtent l="0" t="0" r="0" b="0"/>
            <wp:docPr id="1" name="Immagine 1" descr="Immagine che contiene testo, Carattere, schermata,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arattere, schermata, cerchio&#10;&#10;Descrizione generata automaticamente"/>
                    <pic:cNvPicPr>
                      <a:picLocks noChangeAspect="1" noChangeArrowheads="1"/>
                    </pic:cNvPicPr>
                  </pic:nvPicPr>
                  <pic:blipFill>
                    <a:blip r:embed="rId2"/>
                    <a:stretch>
                      <a:fillRect/>
                    </a:stretch>
                  </pic:blipFill>
                  <pic:spPr bwMode="auto">
                    <a:xfrm>
                      <a:off x="0" y="0"/>
                      <a:ext cx="1645920" cy="436880"/>
                    </a:xfrm>
                    <a:prstGeom prst="rect">
                      <a:avLst/>
                    </a:prstGeom>
                    <a:noFill/>
                  </pic:spPr>
                </pic:pic>
              </a:graphicData>
            </a:graphic>
          </wp:inline>
        </w:drawing>
      </w:r>
      <w:r>
        <w:rPr/>
        <w:t xml:space="preserve">                            </w:t>
      </w:r>
      <w:r>
        <w:rPr/>
        <w:drawing>
          <wp:inline distT="0" distB="0" distL="0" distR="0">
            <wp:extent cx="508000" cy="516255"/>
            <wp:effectExtent l="0" t="0" r="0" b="0"/>
            <wp:docPr id="2" name="Immagine 4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41" descr="Logo&#10;&#10;Description automatically generated"/>
                    <pic:cNvPicPr>
                      <a:picLocks noChangeAspect="1" noChangeArrowheads="1"/>
                    </pic:cNvPicPr>
                  </pic:nvPicPr>
                  <pic:blipFill>
                    <a:blip r:embed="rId3"/>
                    <a:stretch>
                      <a:fillRect/>
                    </a:stretch>
                  </pic:blipFill>
                  <pic:spPr bwMode="auto">
                    <a:xfrm>
                      <a:off x="0" y="0"/>
                      <a:ext cx="508000" cy="516255"/>
                    </a:xfrm>
                    <a:prstGeom prst="rect">
                      <a:avLst/>
                    </a:prstGeom>
                    <a:noFill/>
                  </pic:spPr>
                </pic:pic>
              </a:graphicData>
            </a:graphic>
          </wp:inline>
        </w:drawing>
      </w:r>
      <w:bookmarkEnd w:id="0"/>
    </w:p>
    <w:p>
      <w:pPr>
        <w:pStyle w:val="Normal"/>
        <w:tabs>
          <w:tab w:val="clear" w:pos="720"/>
          <w:tab w:val="left" w:pos="6946" w:leader="none"/>
        </w:tabs>
        <w:rPr/>
      </w:pPr>
      <w:r>
        <w:rPr/>
      </w:r>
    </w:p>
    <w:tbl>
      <w:tblPr>
        <w:tblW w:w="5000" w:type="pct"/>
        <w:jc w:val="start"/>
        <w:tblInd w:w="-5" w:type="dxa"/>
        <w:tblLayout w:type="fixed"/>
        <w:tblCellMar>
          <w:top w:w="55" w:type="dxa"/>
          <w:start w:w="55" w:type="dxa"/>
          <w:bottom w:w="55" w:type="dxa"/>
          <w:end w:w="55" w:type="dxa"/>
        </w:tblCellMar>
      </w:tblPr>
      <w:tblGrid>
        <w:gridCol w:w="4677"/>
        <w:gridCol w:w="4677"/>
      </w:tblGrid>
      <w:tr>
        <w:trPr/>
        <w:tc>
          <w:tcPr>
            <w:tcW w:w="4677" w:type="dxa"/>
            <w:tcBorders>
              <w:top w:val="single" w:sz="4" w:space="0" w:color="FFFFFF"/>
              <w:start w:val="single" w:sz="4" w:space="0" w:color="FFFFFF"/>
              <w:bottom w:val="single" w:sz="4" w:space="0" w:color="FFFFFF"/>
            </w:tcBorders>
          </w:tcPr>
          <w:p>
            <w:pPr>
              <w:pStyle w:val="Contenutotabella"/>
              <w:rPr/>
            </w:pPr>
            <w:r>
              <w:rPr/>
              <w:drawing>
                <wp:anchor distT="0" distB="0" distL="0" distR="0" simplePos="0" relativeHeight="4" behindDoc="0" locked="0" layoutInCell="0" allowOverlap="1">
                  <wp:simplePos x="0" y="0"/>
                  <wp:positionH relativeFrom="column">
                    <wp:align>center</wp:align>
                  </wp:positionH>
                  <wp:positionV relativeFrom="paragraph">
                    <wp:posOffset>635</wp:posOffset>
                  </wp:positionV>
                  <wp:extent cx="2900045" cy="1328420"/>
                  <wp:effectExtent l="0" t="0" r="0" b="0"/>
                  <wp:wrapSquare wrapText="largest"/>
                  <wp:docPr id="3"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2"/>
                          <pic:cNvPicPr>
                            <a:picLocks noChangeAspect="1" noChangeArrowheads="1"/>
                          </pic:cNvPicPr>
                        </pic:nvPicPr>
                        <pic:blipFill>
                          <a:blip r:embed="rId4"/>
                          <a:stretch>
                            <a:fillRect/>
                          </a:stretch>
                        </pic:blipFill>
                        <pic:spPr bwMode="auto">
                          <a:xfrm>
                            <a:off x="0" y="0"/>
                            <a:ext cx="2900045" cy="1328420"/>
                          </a:xfrm>
                          <a:prstGeom prst="rect">
                            <a:avLst/>
                          </a:prstGeom>
                          <a:noFill/>
                        </pic:spPr>
                      </pic:pic>
                    </a:graphicData>
                  </a:graphic>
                </wp:anchor>
              </w:drawing>
            </w:r>
          </w:p>
        </w:tc>
        <w:tc>
          <w:tcPr>
            <w:tcW w:w="4677" w:type="dxa"/>
            <w:tcBorders>
              <w:top w:val="single" w:sz="4" w:space="0" w:color="FFFFFF"/>
              <w:start w:val="single" w:sz="4" w:space="0" w:color="FFFFFF"/>
              <w:bottom w:val="single" w:sz="4" w:space="0" w:color="FFFFFF"/>
              <w:end w:val="single" w:sz="4" w:space="0" w:color="FFFFFF"/>
            </w:tcBorders>
          </w:tcPr>
          <w:p>
            <w:pPr>
              <w:pStyle w:val="Contenutotabella"/>
              <w:rPr/>
            </w:pPr>
            <w:r>
              <w:rPr/>
              <w:drawing>
                <wp:anchor distT="0" distB="0" distL="0" distR="0" simplePos="0" relativeHeight="5" behindDoc="0" locked="0" layoutInCell="0" allowOverlap="1">
                  <wp:simplePos x="0" y="0"/>
                  <wp:positionH relativeFrom="column">
                    <wp:align>center</wp:align>
                  </wp:positionH>
                  <wp:positionV relativeFrom="paragraph">
                    <wp:posOffset>635</wp:posOffset>
                  </wp:positionV>
                  <wp:extent cx="2900045" cy="1043940"/>
                  <wp:effectExtent l="0" t="0" r="0" b="0"/>
                  <wp:wrapSquare wrapText="largest"/>
                  <wp:docPr id="4" name="Immag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3"/>
                          <pic:cNvPicPr>
                            <a:picLocks noChangeAspect="1" noChangeArrowheads="1"/>
                          </pic:cNvPicPr>
                        </pic:nvPicPr>
                        <pic:blipFill>
                          <a:blip r:embed="rId5"/>
                          <a:stretch>
                            <a:fillRect/>
                          </a:stretch>
                        </pic:blipFill>
                        <pic:spPr bwMode="auto">
                          <a:xfrm>
                            <a:off x="0" y="0"/>
                            <a:ext cx="2900045" cy="1043940"/>
                          </a:xfrm>
                          <a:prstGeom prst="rect">
                            <a:avLst/>
                          </a:prstGeom>
                          <a:noFill/>
                        </pic:spPr>
                      </pic:pic>
                    </a:graphicData>
                  </a:graphic>
                </wp:anchor>
              </w:drawing>
            </w:r>
          </w:p>
        </w:tc>
      </w:tr>
    </w:tbl>
    <w:p>
      <w:pPr>
        <w:pStyle w:val="Normal"/>
        <w:tabs>
          <w:tab w:val="clear" w:pos="720"/>
          <w:tab w:val="left" w:pos="6946" w:leader="none"/>
        </w:tabs>
        <w:rPr/>
      </w:pPr>
      <w:r>
        <w:rPr/>
      </w:r>
    </w:p>
    <w:p>
      <w:pPr>
        <w:pStyle w:val="Normal"/>
        <w:tabs>
          <w:tab w:val="clear" w:pos="720"/>
          <w:tab w:val="left" w:pos="6946" w:leader="none"/>
        </w:tabs>
        <w:jc w:val="end"/>
        <w:rPr>
          <w:b/>
          <w:i/>
          <w:highlight w:val="none"/>
          <w:shd w:fill="auto" w:val="clear"/>
        </w:rPr>
      </w:pPr>
      <w:r>
        <w:rPr>
          <w:b/>
          <w:i/>
          <w:shd w:fill="auto" w:val="clear"/>
        </w:rPr>
      </w:r>
    </w:p>
    <w:p>
      <w:pPr>
        <w:pStyle w:val="Normal"/>
        <w:tabs>
          <w:tab w:val="clear" w:pos="720"/>
          <w:tab w:val="left" w:pos="6946" w:leader="none"/>
        </w:tabs>
        <w:jc w:val="end"/>
        <w:rPr>
          <w:b/>
        </w:rPr>
      </w:pPr>
      <w:r>
        <w:rPr>
          <w:b/>
          <w:i/>
        </w:rPr>
        <w:t>Allegato A – Servizio Civile Universale Italia</w:t>
      </w:r>
    </w:p>
    <w:p>
      <w:pPr>
        <w:pStyle w:val="Normal"/>
        <w:jc w:val="center"/>
        <w:rPr>
          <w:b/>
          <w:sz w:val="20"/>
          <w:szCs w:val="20"/>
        </w:rPr>
      </w:pPr>
      <w:r>
        <w:rPr>
          <w:b/>
          <w:sz w:val="20"/>
          <w:szCs w:val="20"/>
        </w:rPr>
      </w:r>
    </w:p>
    <w:p>
      <w:pPr>
        <w:pStyle w:val="Normal"/>
        <w:jc w:val="center"/>
        <w:rPr>
          <w:b/>
          <w:sz w:val="20"/>
          <w:szCs w:val="20"/>
        </w:rPr>
      </w:pPr>
      <w:r>
        <w:rPr>
          <w:b/>
          <w:sz w:val="20"/>
          <w:szCs w:val="20"/>
        </w:rPr>
      </w:r>
    </w:p>
    <w:p>
      <w:pPr>
        <w:pStyle w:val="Normal"/>
        <w:jc w:val="center"/>
        <w:rPr>
          <w:b/>
          <w:sz w:val="20"/>
          <w:szCs w:val="20"/>
        </w:rPr>
      </w:pPr>
      <w:r>
        <w:rPr>
          <w:b/>
          <w:sz w:val="20"/>
          <w:szCs w:val="20"/>
        </w:rPr>
      </w:r>
    </w:p>
    <w:p>
      <w:pPr>
        <w:pStyle w:val="Normal"/>
        <w:jc w:val="center"/>
        <w:rPr>
          <w:b/>
          <w:sz w:val="20"/>
          <w:szCs w:val="20"/>
        </w:rPr>
      </w:pPr>
      <w:r>
        <w:rPr>
          <w:b/>
          <w:sz w:val="20"/>
          <w:szCs w:val="20"/>
        </w:rPr>
        <w:t>SCHEDA ELEMENTI ESSENZIALI DEL PROGETTO ASSOCIATO AL PROGRAMMA DI INTERVENTO DI SERVIZIO CIVILE UNIVERSALE – ITALIA – Avviso 2025</w:t>
      </w:r>
    </w:p>
    <w:p>
      <w:pPr>
        <w:pStyle w:val="Normal"/>
        <w:jc w:val="center"/>
        <w:rPr>
          <w:b/>
          <w:sz w:val="20"/>
          <w:szCs w:val="20"/>
        </w:rPr>
      </w:pPr>
      <w:r>
        <w:rPr>
          <w:b/>
          <w:sz w:val="20"/>
          <w:szCs w:val="20"/>
        </w:rPr>
      </w:r>
    </w:p>
    <w:p>
      <w:pPr>
        <w:pStyle w:val="Normal"/>
        <w:pBdr>
          <w:top w:val="single" w:sz="4" w:space="1" w:color="000000"/>
          <w:left w:val="single" w:sz="4" w:space="1" w:color="000000"/>
          <w:bottom w:val="single" w:sz="4" w:space="1" w:color="000000"/>
          <w:right w:val="single" w:sz="4" w:space="4" w:color="000000"/>
        </w:pBdr>
        <w:rPr>
          <w:b/>
          <w:sz w:val="20"/>
          <w:szCs w:val="20"/>
        </w:rPr>
      </w:pPr>
      <w:r>
        <w:rPr>
          <w:b/>
          <w:sz w:val="20"/>
          <w:szCs w:val="20"/>
        </w:rPr>
        <w:t>TITOLO DEL PROGETTO:</w:t>
      </w:r>
    </w:p>
    <w:p>
      <w:pPr>
        <w:pStyle w:val="Normal"/>
        <w:pBdr>
          <w:top w:val="single" w:sz="4" w:space="1" w:color="000000"/>
          <w:left w:val="single" w:sz="4" w:space="1" w:color="000000"/>
          <w:bottom w:val="single" w:sz="4" w:space="1" w:color="000000"/>
          <w:right w:val="single" w:sz="4" w:space="4" w:color="000000"/>
        </w:pBdr>
        <w:rPr>
          <w:sz w:val="20"/>
          <w:szCs w:val="20"/>
        </w:rPr>
      </w:pPr>
      <w:r>
        <w:rPr>
          <w:sz w:val="20"/>
          <w:szCs w:val="20"/>
        </w:rPr>
        <w:t>Tor Bella Monaca in Movimento: giovani, pace e partecipazione</w:t>
      </w:r>
    </w:p>
    <w:p>
      <w:pPr>
        <w:pStyle w:val="Normal"/>
        <w:rPr>
          <w:sz w:val="20"/>
          <w:szCs w:val="20"/>
        </w:rPr>
      </w:pPr>
      <w:r>
        <w:rPr>
          <w:sz w:val="20"/>
          <w:szCs w:val="20"/>
        </w:rPr>
      </w:r>
    </w:p>
    <w:p>
      <w:pPr>
        <w:pStyle w:val="Normal"/>
        <w:pBdr>
          <w:top w:val="single" w:sz="4" w:space="0"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t>SETTORE ED AREA DI INTERVENTO:</w:t>
      </w:r>
    </w:p>
    <w:p>
      <w:pPr>
        <w:pStyle w:val="Normal"/>
        <w:pBdr>
          <w:top w:val="single" w:sz="4" w:space="0" w:color="000000"/>
          <w:left w:val="single" w:sz="4" w:space="4" w:color="000000"/>
          <w:bottom w:val="single" w:sz="4" w:space="1" w:color="000000"/>
          <w:right w:val="single" w:sz="4" w:space="4" w:color="000000"/>
        </w:pBdr>
        <w:rPr>
          <w:rFonts w:eastAsia="Calibri"/>
          <w:bCs/>
          <w:color w:val="000000"/>
          <w:sz w:val="20"/>
          <w:szCs w:val="20"/>
        </w:rPr>
      </w:pPr>
      <w:r>
        <w:rPr>
          <w:rFonts w:eastAsia="Calibri"/>
          <w:b/>
          <w:bCs/>
          <w:color w:val="000000"/>
          <w:sz w:val="20"/>
          <w:szCs w:val="20"/>
        </w:rPr>
        <w:t>Settore</w:t>
      </w:r>
      <w:r>
        <w:rPr>
          <w:rFonts w:eastAsia="Calibri"/>
          <w:bCs/>
          <w:color w:val="000000"/>
          <w:sz w:val="20"/>
          <w:szCs w:val="20"/>
        </w:rPr>
        <w:t xml:space="preserve"> E - Educazione e promozione culturale, paesaggistica, ambientale, del turismo sostenibile e sociale e dello</w:t>
      </w:r>
    </w:p>
    <w:p>
      <w:pPr>
        <w:pStyle w:val="Normal"/>
        <w:pBdr>
          <w:top w:val="single" w:sz="4" w:space="0" w:color="000000"/>
          <w:left w:val="single" w:sz="4" w:space="4" w:color="000000"/>
          <w:bottom w:val="single" w:sz="4" w:space="1" w:color="000000"/>
          <w:right w:val="single" w:sz="4" w:space="4" w:color="000000"/>
        </w:pBdr>
        <w:rPr>
          <w:rFonts w:eastAsia="Calibri"/>
          <w:bCs/>
          <w:color w:val="000000"/>
          <w:sz w:val="20"/>
          <w:szCs w:val="20"/>
        </w:rPr>
      </w:pPr>
      <w:r>
        <w:rPr>
          <w:rFonts w:eastAsia="Calibri"/>
          <w:bCs/>
          <w:color w:val="000000"/>
          <w:sz w:val="20"/>
          <w:szCs w:val="20"/>
        </w:rPr>
        <w:t xml:space="preserve">sport </w:t>
      </w:r>
    </w:p>
    <w:p>
      <w:pPr>
        <w:pStyle w:val="Normal"/>
        <w:pBdr>
          <w:top w:val="single" w:sz="4" w:space="0" w:color="000000"/>
          <w:left w:val="single" w:sz="4" w:space="4" w:color="000000"/>
          <w:bottom w:val="single" w:sz="4" w:space="1" w:color="000000"/>
          <w:right w:val="single" w:sz="4" w:space="4" w:color="000000"/>
        </w:pBdr>
        <w:rPr>
          <w:rFonts w:eastAsia="Calibri"/>
          <w:bCs/>
          <w:color w:val="000000"/>
          <w:sz w:val="20"/>
          <w:szCs w:val="20"/>
        </w:rPr>
      </w:pPr>
      <w:r>
        <w:rPr>
          <w:rFonts w:eastAsia="Calibri"/>
          <w:b/>
          <w:bCs/>
          <w:color w:val="000000"/>
          <w:sz w:val="20"/>
          <w:szCs w:val="20"/>
        </w:rPr>
        <w:t xml:space="preserve">Area </w:t>
      </w:r>
      <w:r>
        <w:rPr>
          <w:rFonts w:eastAsia="Calibri"/>
          <w:bCs/>
          <w:color w:val="000000"/>
          <w:sz w:val="20"/>
          <w:szCs w:val="20"/>
        </w:rPr>
        <w:t>12 - Educazione e promozione della pace, dei diritti umani, della nonviolenza e della difesa non armata</w:t>
      </w:r>
    </w:p>
    <w:p>
      <w:pPr>
        <w:pStyle w:val="Normal"/>
        <w:pBdr>
          <w:top w:val="single" w:sz="4" w:space="0" w:color="000000"/>
          <w:left w:val="single" w:sz="4" w:space="4" w:color="000000"/>
          <w:bottom w:val="single" w:sz="4" w:space="1" w:color="000000"/>
          <w:right w:val="single" w:sz="4" w:space="4" w:color="000000"/>
        </w:pBdr>
        <w:rPr>
          <w:rFonts w:eastAsia="Calibri"/>
          <w:bCs/>
          <w:color w:val="000000"/>
          <w:sz w:val="20"/>
          <w:szCs w:val="20"/>
        </w:rPr>
      </w:pPr>
      <w:r>
        <w:rPr>
          <w:rFonts w:eastAsia="Calibri"/>
          <w:bCs/>
          <w:color w:val="000000"/>
          <w:sz w:val="20"/>
          <w:szCs w:val="20"/>
        </w:rPr>
        <w:t>della Patria</w:t>
      </w:r>
    </w:p>
    <w:p>
      <w:pPr>
        <w:pStyle w:val="Normal"/>
        <w:pBdr>
          <w:top w:val="single" w:sz="4" w:space="0" w:color="000000"/>
          <w:left w:val="single" w:sz="4" w:space="4" w:color="000000"/>
          <w:bottom w:val="single" w:sz="4" w:space="1" w:color="000000"/>
          <w:right w:val="single" w:sz="4" w:space="4" w:color="000000"/>
        </w:pBdr>
        <w:rPr>
          <w:rFonts w:eastAsia="Calibri"/>
          <w:bCs/>
          <w:color w:val="000000"/>
          <w:sz w:val="20"/>
          <w:szCs w:val="20"/>
        </w:rPr>
      </w:pPr>
      <w:r>
        <w:rPr>
          <w:rFonts w:eastAsia="Calibri"/>
          <w:b/>
          <w:bCs/>
          <w:color w:val="000000"/>
          <w:sz w:val="20"/>
          <w:szCs w:val="20"/>
        </w:rPr>
        <w:t xml:space="preserve">Area Secondaria </w:t>
      </w:r>
      <w:r>
        <w:rPr>
          <w:rFonts w:eastAsia="Calibri"/>
          <w:bCs/>
          <w:color w:val="000000"/>
          <w:sz w:val="20"/>
          <w:szCs w:val="20"/>
        </w:rPr>
        <w:t xml:space="preserve">04 - Animazione di comunità </w:t>
      </w:r>
    </w:p>
    <w:p>
      <w:pPr>
        <w:pStyle w:val="Normal"/>
        <w:rPr>
          <w:sz w:val="20"/>
          <w:szCs w:val="20"/>
        </w:rPr>
      </w:pPr>
      <w:r>
        <w:rPr>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sz w:val="20"/>
          <w:szCs w:val="20"/>
        </w:rPr>
        <w:t xml:space="preserve">DURATA DEL PROGETTO: </w:t>
      </w:r>
      <w:r>
        <w:rPr>
          <w:b w:val="false"/>
          <w:bCs w:val="false"/>
          <w:sz w:val="20"/>
          <w:szCs w:val="20"/>
        </w:rPr>
        <w:t>12 mesi</w:t>
      </w:r>
    </w:p>
    <w:p>
      <w:pPr>
        <w:pStyle w:val="Normal"/>
        <w:rPr>
          <w:sz w:val="20"/>
          <w:szCs w:val="20"/>
          <w:highlight w:val="yellow"/>
        </w:rPr>
      </w:pPr>
      <w:r>
        <w:rPr>
          <w:sz w:val="20"/>
          <w:szCs w:val="20"/>
          <w:highlight w:val="yellow"/>
        </w:rPr>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t>OBIETTIVO DEL PROGETTO: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b/>
          <w:bCs/>
          <w:sz w:val="20"/>
          <w:szCs w:val="20"/>
        </w:rPr>
        <w:t>L’obiettivo del progetto “Tor Bella Monaca in Movimento: giovani, pace e partecipazione” è promuovere una cultura della pace e del rispetto dei diritti umani tra i minori e le famiglie di Tor Bella Monaca e più in generale di Roma, attraverso azioni educative che favoriscano l'inclusione sociale e la prevenzione di tutte le forme di violenza, siano esse dirette, strutturali o culturali.</w:t>
      </w:r>
      <w:r>
        <w:rPr>
          <w:sz w:val="20"/>
          <w:szCs w:val="20"/>
        </w:rPr>
        <w:t xml:space="preserve"> L'intervento mira a sviluppare competenze civiche, relazionali e interculturali, favorendo la partecipazione attiva dei giovani e delle famiglie nel processo di costruzione di comunità più coese, inclusive e solidali coinvolgendo circa 1.620 persone in modo diretto. Si intende sensibilizzare e formare le nuove generazioni sui temi della non violenza, della risoluzione pacifica dei conflitti e della cittadinanza attiva, contribuendo a rafforzare la loro consapevolezza rispetto alla responsabilità collettiva nella promozione di ambienti più giusti e pacifici. Inoltre, attraverso una strategia di comunicazione mirata, si intende amplificare l'impatto del progetto, coinvolgendo la comunità locale e le istituzioni nella diffusione di questi valori e pratiche.</w:t>
      </w:r>
    </w:p>
    <w:p>
      <w:pPr>
        <w:pStyle w:val="Normal"/>
        <w:rPr>
          <w:rFonts w:eastAsia="Calibri"/>
          <w:b/>
          <w:color w:val="000000"/>
          <w:sz w:val="20"/>
          <w:szCs w:val="20"/>
          <w:highlight w:val="yellow"/>
        </w:rPr>
      </w:pPr>
      <w:r>
        <w:rPr>
          <w:rFonts w:eastAsia="Calibri"/>
          <w:b/>
          <w:color w:val="000000"/>
          <w:sz w:val="20"/>
          <w:szCs w:val="20"/>
          <w:highlight w:val="yellow"/>
        </w:rPr>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t>RUOLO ED ATTIVITÁ DEGLI OPERATORI VOLONTARI: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Il progetto prevede l’impiego di un totale di n. 4 operatori/trici volontari/ie distribuiti come segue: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n.2 per la sede di attuazione del Bella Lab - Tor Bella Monaca;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n.2 per la sede di attuazione di New Life for Children ETS - Via Nazionale.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Gli/Le operatori/trici volontari/ie saranno pienamente integrati/e nella realizzazione delle attività previste, operando con un ruolo di supporto, collaborazione e affiancamento al personale educativo e organizzativo dell’ente. Il loro impegno sarà differenziato in base alla sede di attuazione, garantendo comunque un percorso di apprendimento formativo e un contributo effettivo al raggiungimento degli obiettivi del progetto. Tutti gli/le operatori/trici volontari/ie durante l’anno di servizio civile universale presso le due sedi di attuazione avranno modo di confrontarsi e partecipare a tutte le attività in cui queste sono impegnate.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b/>
          <w:bCs/>
          <w:sz w:val="20"/>
          <w:szCs w:val="20"/>
        </w:rPr>
      </w:pPr>
      <w:r>
        <w:rPr>
          <w:b/>
          <w:bCs/>
          <w:sz w:val="20"/>
          <w:szCs w:val="20"/>
        </w:rPr>
        <w:t>SEDE: BELLALAB - VIA DI TOR BELLA MONACA 451 - CODICE SEDE: 233201</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Presso la sede Bella Lab di Tor Bella Monaca, i/le volontari/ie 1 e 2 saranno coinvolti principalmente nell’Azione 1 – Corpo, emozioni e relazione: pratiche educative per la cultura della pace a scuola e nell’Azione 2 – Educare alla pace attraverso l’Educazione socio-affettiva e la relazione di valore contribuendo alla realizzazione dei percorsi di sensibilizzazione tramite il Teatro Forum e la circomotricità presso l’Istituto Comprensivo Via Acquaroni partner e il programma di educazione socio-affettiva implementato nel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I/Le volontari/ie 1 e 2 collaboreranno a tutte le sotto-attività previste: dalla partecipazione ai laboratori educativi alla raccolta della documentazione burocratica, dal supporto organizzativo delle attività di comunità alla produzione di foto e video. Agiranno da facilitatori/trici nelle attività con bambini e ragazzi, parteciperanno alla predisposizione dei materiali educativi, all'accoglienza dei partecipanti e al monitoraggio delle attività svolte. Nel dettaglio: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Operatori/trici n.1 e n.2: supporteranno l’Ente nella realizzazione delle attività legate all’Azione 1 e 2 nell’area Educativa, nello specifico: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all’equipe nell’implementazione dei 9 workshop di Teatro Forum presso la scuola coinvolta;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nell’elaborazione del calendario dei 9 workshop di Teatro Forum presso la scuola coinvolta;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raccolta di liberatorie foto/video dei workshop;</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attiva come facilitatori junior durante i momenti di restituzione o confronto con il gruppo classe;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Contributo alla documentazione dei processi educativi (osservazioni, foto, brevi report);</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nell’adattamento dei materiali teatrali in base all’età e al contesto delle classi coinvolte;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realizzazione dei 18 laboratori di circomotricità presso la scuola coinvolta;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nell’elaborazione del calendario dei 18 laboratori di circomotricità presso la scuola;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raccolta di liberatorie foto/video dei laboratori di circomotricità;</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nella gestione degli spazi e dei materiali durante i laboratori di circomotricità;</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Osservazione e segnalazione di dinamiche relazionali rilevanti da condividere con l’equipe;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 momenti di restituzione riflessiva con i bambini (circle time, giochi cooperativi finali);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all’equipe educativa sul campo durante le attività settimanali per il Gruppo Infanzia ed il Gruppo Adolescenza presso il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nell’organizzazione delle attività che coinvolgono le famiglie presso il Bella Lab (festa di natale e la chiusura estiva del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raccolta dei materiali necessari alle attività educative presso il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raccolta dei moduli iscrizione e di tutta la documentazione (liberatorie, diari di bordo ecc..) delle attività educative presso il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Produzione di materiale foto/video delle attività educative al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nell’elaborazione dei report di progetto e degli strumenti di monitoraggio e valutazione;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all’equipe durante le 3 escursioni estive con i minori iscritti al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nell’organizzazione delle 3 escursioni estive;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Gestione dei materiali informativi e dei kit educativi da distribuire durante le escursioni;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alla progettazione delle attività educative che si svolgeranno durante le escursioni (giochi, visite guidate, momenti riflessivi);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Raccolta di testimonianze, foto, citazioni e contributi per la documentazione e comunicazione dell’esperienza;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nell’organizzazione dei 10 laboratori di potenziamento delle competenze presso il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raccolta dei registri presenze dei laboratori di potenziamento delle competenze al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come facilitatori in momenti specifici (accoglienza, attivazione, debriefing) durante i laboratori di potenziamento delle competenze;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predisposizione dei materiali didattici e nella sistemazione degli spazi;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w:t>
      </w:r>
      <w:r>
        <w:rPr>
          <w:sz w:val="20"/>
          <w:szCs w:val="20"/>
        </w:rPr>
        <w:t>Raccolta di feedback qualitativo dai partecipanti e contributo alla valutazione di impatto delle attività.</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b/>
          <w:bCs/>
          <w:sz w:val="20"/>
          <w:szCs w:val="20"/>
        </w:rPr>
      </w:pPr>
      <w:r>
        <w:rPr>
          <w:b/>
          <w:bCs/>
          <w:sz w:val="20"/>
          <w:szCs w:val="20"/>
        </w:rPr>
        <w:t>SEDE: NEW LIFE FOR CHILDREN – VIA NAZIONALE 230 – CODICE SEDE: 233196</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Presso la sede di New Life for Children ETS, i volontari/ie 3 e 4 saranno impegnati rispettivamente nell’Azione 3 – Crescere come Operatori di Pace nei Territori e nell’Azione 4 – Raccontare la Pace: comunicazione, partecipazione e sostenibilità attraverso attività di supporto alla formazione che eroga l’ente e nella comunicazione e diffusione dei temi legati alla pace e all’inclusione tramite i propri canali.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Sebbene i/le volontari/ie 3 e 4 siano assegnati/e rispettivamente all’Azione 3 e all’Azione 4, è previsto un ambito di collaborazione congiunta all’interno della sotto attività 3.2 dedicata al supporto dell’operatività dell’ente nell’Azione 3. In questo spazio condiviso, i/le volontari/ie contribuiranno alla redazione di articoli, testimonianze e contenuti per i canali istituzionali, collaboreranno all’organizzazione logistica delle attività e parteciperanno alle riunioni di staff. Tale sinergia consentirà loro di sviluppare competenze trasversali, favorendo al contempo il coordinamento interno e il senso di appartenenza alla missione dell’organizzazione.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L’operatore/trice 3 supporterà l’ente nella realizzazione delle attività legate all’Azione 3 – Crescere come Operatori di Pace nei Territori nell’area Formazione e Organizzazione offrendo supporto operativo e organizzativo alle attività formative promosse dall’ente, sia in presenza che online. In particolare, affiancherà i referenti della formazione nella gestione quotidiana dei percorsi educativi e nella valorizzazione delle esperienze realizzate, nello specifico: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nell’organizzazione della formazione in presenza presso il Bella Lab;</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nell’elaborazione del calendario della formazione;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durante l’identificazione del programma didattico da erogare;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 monitoraggio e valutazione qualitativa della formazione;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raccolta di registri presenze della formazione erogata;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gestione del database degli iscritti alla formazione sulla piattaforma Teachers Outreach;</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nell’analisi dell’avanzamento dei percorsi di formazione sulla piattaforma Teachers Outreach;</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nella produzione di contenuti video-lezioni da inserire nella piattaforma Teachers Outreach;</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gestione della piattaforma Teachers Outreach;</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nell’archiviazione della documentazione prodotta dalle formazioni;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nella redazione di articoli, testimonianze e post da inserire sui canali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nell’organizzazione operativa delle attività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alle riunioni dello staff per il coordinamento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attiva ai momenti di ideazione e progettazione delle attività educative e formative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Contributo alla raccolta e analisi dei feedback dei partecipanti alle attività, in sinergia con l’équipe educativa;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w:t>
      </w:r>
      <w:r>
        <w:rPr>
          <w:sz w:val="20"/>
          <w:szCs w:val="20"/>
        </w:rPr>
        <w:t>Supporto nella sistematizzazione delle buone pratiche e nella stesura di report divulgativi e riflessivi (es. diari di bordo, storie dal campo);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L’operatore/trice 4 supporterà l’ente nella realizzazione delle attività legate all’Azione 4 - Raccontare la Pace: comunicazione, partecipazione e sostenibilità e nella sotto-attività 3.2 dell’Azione 3 – Crescere come Operatori di Pace nei Territori nell’area Comunicazione e Organizzazione, sarà inserito/a all’interno del team di comunicazione e lo affiancherà nella realizzazione delle attività previste con un ruolo attivo nella valorizzazione narrativa delle esperienze progettuali, nella diffusione pubblica del messaggio educativo e trasformativo del progetto nonché nel supporto operativo all’ente in ambito organizzativo e di coordinamento, nello specifico: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alla pianificazione e pubblicazione di post settimanali sui social;</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produzione di contenuti visivi (foto, grafiche, brevi video);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redazione di articoli e interviste per blog e newsletter;</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Aggiornamento del sito web con contenuti informativi e narrativi;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nella raccolta e organizzazione di testimonianze da educatori, volontari e beneficiari del progetto;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alla redazione del report annuale dell’ente con particolare riferimento alla sezione dedicata allo SCU;</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nelle attività di comunicazione per il fundraising;</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Supporto nella realizzazione e diffusione delle campagne di raccolta fondi;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alla creazione di materiali promozionali (calendari, gadget, grafiche);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Affiancamento nella produzione di racconti creativi delle esperienze per coinvolgere i sostenitori;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 xml:space="preserve">Affiancamento nella redazione di articoli, testimonianze e post da inserire sui canali dell’ente; </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Collaborazione nell’organizzazione operativa delle attività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alle riunioni dello staff per il coordinamento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Partecipazione attiva ai momenti di ideazione e progettazione delle attività educative e formative dell’ente;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 </w:t>
      </w:r>
      <w:r>
        <w:rPr>
          <w:sz w:val="20"/>
          <w:szCs w:val="20"/>
        </w:rPr>
        <w:t>Contributo alla raccolta e analisi dei feedback dei partecipanti alle attività, in sinergia con l’équipe educativa;</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 xml:space="preserve">• </w:t>
      </w:r>
      <w:r>
        <w:rPr>
          <w:sz w:val="20"/>
          <w:szCs w:val="20"/>
        </w:rPr>
        <w:t>Supporto nella sistematizzazione delle buone pratiche e nella stesura di report divulgativi e riflessivi (es. diari di bordo, storie dal campo).</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In tutte le sedi, i/le volontari/ie svolgeranno attività di supporto operativo e collaborativo, senza sostituirsi mai al personale responsabile, ma arricchendo il lavoro con il proprio contributo nell’ambito di un’esperienza formativa orientata alla crescita personale e professionale.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È prevista la partecipazione al progetto di giovani con minori opportunità, individuati in particolare tra coloro che si trovano in condizioni di difficoltà economica. Gli/le operatori/trici volontari/ie con minori opportunità svolgeranno le stesse attività previste per tutti gli altri volontari/ie, senza distinzione di compiti o mansioni.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Durante i periodi di chiusura delle sedi di attuazione previsti ad agosto, sarà possibile proseguire alcune attività da remoto, in particolare per quanto riguarda la progettazione, la produzione di materiali formativi e divulgativi e la gestione della comunicazione digitale.</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rFonts w:eastAsia="Calibri"/>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sz w:val="20"/>
          <w:szCs w:val="20"/>
        </w:rPr>
        <w:t>Le attività da remoto saranno organizzate tramite piattaforme telematiche sicure, garantendo comunque il supporto formativo e il monitoraggio da parte degli operatori di progetto. Il ricorso ad attività da remoto potrà inoltre essere attivato in via eccezionale in presenza di situazioni di emergenza che impediscano l’operatività in presenza, previa comunicazione al Dipartimento.</w:t>
      </w:r>
    </w:p>
    <w:p>
      <w:pPr>
        <w:pStyle w:val="Normal"/>
        <w:rPr>
          <w:rFonts w:eastAsia="Calibri"/>
          <w:b w:val="false"/>
          <w:bCs w:val="false"/>
          <w:color w:val="000000"/>
          <w:sz w:val="20"/>
          <w:szCs w:val="20"/>
          <w:highlight w:val="none"/>
          <w:shd w:fill="auto" w:val="clear"/>
        </w:rPr>
      </w:pPr>
      <w:r>
        <w:rPr>
          <w:rFonts w:eastAsia="Calibri"/>
          <w:b w:val="false"/>
          <w:bCs w:val="false"/>
          <w:color w:val="000000"/>
          <w:sz w:val="20"/>
          <w:szCs w:val="20"/>
          <w:shd w:fill="auto" w:val="clear"/>
        </w:rPr>
      </w:r>
    </w:p>
    <w:p>
      <w:pPr>
        <w:pStyle w:val="Normal"/>
        <w:pBdr>
          <w:top w:val="single" w:sz="4" w:space="1" w:color="000000"/>
          <w:left w:val="single" w:sz="4" w:space="4" w:color="000000"/>
          <w:bottom w:val="single" w:sz="4" w:space="1" w:color="000000"/>
          <w:right w:val="single" w:sz="4" w:space="4" w:color="000000"/>
        </w:pBdr>
        <w:rPr>
          <w:b/>
          <w:bCs/>
          <w:highlight w:val="none"/>
          <w:shd w:fill="auto" w:val="clear"/>
        </w:rPr>
      </w:pPr>
      <w:r>
        <w:rPr>
          <w:rFonts w:eastAsia="Calibri"/>
          <w:b/>
          <w:bCs/>
          <w:color w:val="000000"/>
          <w:sz w:val="20"/>
          <w:szCs w:val="20"/>
          <w:shd w:fill="auto" w:val="clear"/>
        </w:rPr>
        <w:t>SEDI DI SVOLGIMENTO:</w:t>
      </w:r>
    </w:p>
    <w:p>
      <w:pPr>
        <w:pStyle w:val="Normal"/>
        <w:pBdr>
          <w:top w:val="single" w:sz="4" w:space="1" w:color="000000"/>
          <w:left w:val="single" w:sz="4" w:space="4" w:color="000000"/>
          <w:bottom w:val="single" w:sz="4" w:space="1" w:color="000000"/>
          <w:right w:val="single" w:sz="4" w:space="4" w:color="000000"/>
        </w:pBdr>
        <w:rPr>
          <w:b w:val="false"/>
          <w:bCs w:val="false"/>
          <w:highlight w:val="none"/>
          <w:shd w:fill="auto" w:val="clear"/>
        </w:rPr>
      </w:pPr>
      <w:r>
        <w:rPr>
          <w:b w:val="false"/>
          <w:bCs w:val="false"/>
          <w:sz w:val="20"/>
          <w:szCs w:val="20"/>
          <w:shd w:fill="auto" w:val="clear"/>
        </w:rPr>
        <w:t>SEDE: BELLALAB - VIA DI TOR BELLA MONACA 451, Roma</w:t>
      </w:r>
    </w:p>
    <w:p>
      <w:pPr>
        <w:pStyle w:val="Normal"/>
        <w:pBdr>
          <w:top w:val="single" w:sz="4" w:space="1" w:color="000000"/>
          <w:left w:val="single" w:sz="4" w:space="4" w:color="000000"/>
          <w:bottom w:val="single" w:sz="4" w:space="1" w:color="000000"/>
          <w:right w:val="single" w:sz="4" w:space="4" w:color="000000"/>
        </w:pBdr>
        <w:rPr>
          <w:b w:val="false"/>
          <w:bCs w:val="false"/>
          <w:highlight w:val="none"/>
          <w:shd w:fill="auto" w:val="clear"/>
        </w:rPr>
      </w:pPr>
      <w:r>
        <w:rPr>
          <w:b w:val="false"/>
          <w:bCs w:val="false"/>
          <w:sz w:val="20"/>
          <w:szCs w:val="20"/>
          <w:shd w:fill="auto" w:val="clear"/>
        </w:rPr>
        <w:t>SEDE: NEW LIFE FOR CHILDREN – VIA NAZIONALE 230 – Roma</w:t>
      </w:r>
    </w:p>
    <w:p>
      <w:pPr>
        <w:pStyle w:val="Normal"/>
        <w:rPr>
          <w:rFonts w:eastAsia="Calibri"/>
          <w:b/>
          <w:color w:val="000000"/>
          <w:sz w:val="20"/>
          <w:szCs w:val="20"/>
          <w:highlight w:val="yellow"/>
        </w:rPr>
      </w:pPr>
      <w:r>
        <w:rPr>
          <w:rFonts w:eastAsia="Calibri"/>
          <w:b/>
          <w:color w:val="000000"/>
          <w:sz w:val="20"/>
          <w:szCs w:val="20"/>
          <w:highlight w:val="yellow"/>
        </w:rPr>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t>POSTI DISPONIBILI, SERVIZI OFFERTI:</w:t>
      </w:r>
    </w:p>
    <w:p>
      <w:pPr>
        <w:pStyle w:val="Normal"/>
        <w:pBdr>
          <w:top w:val="single" w:sz="4" w:space="1" w:color="000000"/>
          <w:left w:val="single" w:sz="4" w:space="4" w:color="000000"/>
          <w:bottom w:val="single" w:sz="4" w:space="1" w:color="000000"/>
          <w:right w:val="single" w:sz="4" w:space="4" w:color="000000"/>
        </w:pBdr>
        <w:rPr>
          <w:rFonts w:eastAsia="Calibri"/>
          <w:color w:val="FF0000"/>
          <w:sz w:val="20"/>
          <w:szCs w:val="20"/>
        </w:rPr>
      </w:pPr>
      <w:r>
        <w:rPr>
          <w:rFonts w:eastAsia="Calibri"/>
          <w:color w:val="FF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FF0000"/>
          <w:sz w:val="20"/>
          <w:szCs w:val="20"/>
        </w:rPr>
      </w:pPr>
      <w:r>
        <w:rPr>
          <w:rFonts w:eastAsia="Calibri"/>
          <w:b/>
          <w:bCs/>
          <w:color w:val="000000"/>
          <w:sz w:val="20"/>
          <w:szCs w:val="20"/>
        </w:rPr>
        <w:t>Numero posti senza vitto e alloggio</w:t>
      </w:r>
      <w:r>
        <w:rPr>
          <w:rFonts w:eastAsia="Calibri"/>
          <w:color w:val="000000"/>
          <w:sz w:val="20"/>
          <w:szCs w:val="20"/>
        </w:rPr>
        <w:t>: 4</w:t>
      </w:r>
    </w:p>
    <w:p>
      <w:pPr>
        <w:pStyle w:val="Normal"/>
        <w:pBdr>
          <w:top w:val="single" w:sz="4" w:space="1" w:color="000000"/>
          <w:left w:val="single" w:sz="4" w:space="4" w:color="000000"/>
          <w:bottom w:val="single" w:sz="4" w:space="1" w:color="000000"/>
          <w:right w:val="single" w:sz="4" w:space="4" w:color="000000"/>
        </w:pBdr>
        <w:rPr>
          <w:rFonts w:eastAsia="Calibri"/>
          <w:color w:val="FF0000"/>
          <w:sz w:val="20"/>
          <w:szCs w:val="20"/>
        </w:rPr>
      </w:pPr>
      <w:r>
        <w:rPr>
          <w:rFonts w:eastAsia="Calibri"/>
          <w:color w:val="FF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FF0000"/>
          <w:sz w:val="20"/>
          <w:szCs w:val="20"/>
        </w:rPr>
      </w:pPr>
      <w:r>
        <w:rPr>
          <w:rFonts w:eastAsia="Calibri"/>
          <w:b/>
          <w:bCs/>
          <w:color w:val="000000"/>
          <w:sz w:val="20"/>
          <w:szCs w:val="20"/>
        </w:rPr>
        <w:t>Totale</w:t>
      </w:r>
      <w:r>
        <w:rPr>
          <w:rFonts w:eastAsia="Calibri"/>
          <w:color w:val="000000"/>
          <w:sz w:val="20"/>
          <w:szCs w:val="20"/>
        </w:rPr>
        <w:t>: 4 di cui GMO 1</w:t>
      </w:r>
    </w:p>
    <w:p>
      <w:pPr>
        <w:pStyle w:val="Normal"/>
        <w:rPr>
          <w:rFonts w:eastAsia="Calibri"/>
          <w:b/>
          <w:color w:val="000000"/>
          <w:sz w:val="20"/>
          <w:szCs w:val="20"/>
          <w:highlight w:val="yellow"/>
        </w:rPr>
      </w:pPr>
      <w:r>
        <w:rPr>
          <w:rFonts w:eastAsia="Calibri"/>
          <w:b/>
          <w:color w:val="000000"/>
          <w:sz w:val="20"/>
          <w:szCs w:val="20"/>
          <w:highlight w:val="yellow"/>
        </w:rPr>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t>EVENTUALI PARTICOLARI CONDIZIONI ED OBBLIGHI DI SERVIZIO ED ASPETTI ORGANIZZATIVI:</w:t>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Nel rispetto della normativa vigente in materia di Servizio Civile Universale, si evidenziano alcune condizioni specifiche richieste agli operatori volontari, connesse alla natura delle attività previste dal progetto e finalizzate a garantirne l’efficacia e la continuità:</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    • </w:t>
      </w:r>
      <w:r>
        <w:rPr>
          <w:rFonts w:eastAsia="Calibri"/>
          <w:b w:val="false"/>
          <w:bCs w:val="false"/>
          <w:color w:val="000000"/>
          <w:sz w:val="20"/>
          <w:szCs w:val="20"/>
        </w:rPr>
        <w:t>adesione ai valori e ai principi ispiratori dell’organizzazione proponente, quali inclusione, nonviolenza, corresponsabilità e promozione della cultura della pace;</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    • </w:t>
      </w:r>
      <w:r>
        <w:rPr>
          <w:rFonts w:eastAsia="Calibri"/>
          <w:b w:val="false"/>
          <w:bCs w:val="false"/>
          <w:color w:val="000000"/>
          <w:sz w:val="20"/>
          <w:szCs w:val="20"/>
        </w:rPr>
        <w:t>disponibilità al lavoro in equipe, nel rispetto delle dinamiche relazionali e in un’ottica di apprendimento reciproco, accoglienza e adattamento;</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    • </w:t>
      </w:r>
      <w:r>
        <w:rPr>
          <w:rFonts w:eastAsia="Calibri"/>
          <w:b w:val="false"/>
          <w:bCs w:val="false"/>
          <w:color w:val="000000"/>
          <w:sz w:val="20"/>
          <w:szCs w:val="20"/>
        </w:rPr>
        <w:t>nel rispetto della normativa vigente SCU disponibilità a svolgere sporadicamente attività nelle due sedi del progetto (Via Nazionale e Tor Bella Monaca), quando funzionali alla programmazione e all’attuazione delle azioni progettuali, sempre con copertura da parte dell’ente;</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    • </w:t>
      </w:r>
      <w:r>
        <w:rPr>
          <w:rFonts w:eastAsia="Calibri"/>
          <w:b w:val="false"/>
          <w:bCs w:val="false"/>
          <w:color w:val="000000"/>
          <w:sz w:val="20"/>
          <w:szCs w:val="20"/>
        </w:rPr>
        <w:t>flessibilità oraria, inclusa la possibilità di svolgere occasionalmente il servizio durante il fine settimana o in orari differenti da quelli ordinari, in relazione a specifiche attività rivolte all’utenza (es. eventi pubblici, laboratori, momenti formativi o di sensibilizzazione);</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    • </w:t>
      </w:r>
      <w:r>
        <w:rPr>
          <w:rFonts w:eastAsia="Calibri"/>
          <w:b w:val="false"/>
          <w:bCs w:val="false"/>
          <w:color w:val="000000"/>
          <w:sz w:val="20"/>
          <w:szCs w:val="20"/>
        </w:rPr>
        <w:t>partecipazione ai percorsi di formazione obbligatoria, agli incontri di verifica e monitoraggio periodici, nonché redazione e presentazione di report periodici destinati all’OLP e al CIPSI;</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 </w:t>
      </w:r>
      <w:r>
        <w:rPr>
          <w:rFonts w:eastAsia="Calibri"/>
          <w:b w:val="false"/>
          <w:bCs w:val="false"/>
          <w:color w:val="000000"/>
          <w:sz w:val="20"/>
          <w:szCs w:val="20"/>
        </w:rPr>
        <w:t>disponibilità, al termine del servizio, a partecipare ad attività di restituzione, testimonianza e sensibilizzazione sull’esperienza svolta.</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 xml:space="preserve">Sede Bella Lab – Via di Tor Bella Monaca 451 (Codice sede: 233201): la sede osserva i seguenti orari di apertura al pubblico ordinari: lunedì, mercoledì e venerdì dalle 17.00 alle 19.00; martedì dalle 10.00 alle 19.00. Negli orari di chiusura al pubblico gli operatori volontari svolgono attività di preparazione delle attività. In occasione di eventi speciali (formazioni, incontri pubblici, manifestazioni) gli orari possono variare. La sede resta chiusa nel mese di agosto e durante la settimana delle festività natalizie. In tali periodi, gli operatori volontari potranno proseguire le attività o  in presenza presso la sede legale accreditata dell’ente o in modalità da remoto, previo accordo con l’OLP, che definirà compiti, obiettivi e modalità operative, garantendo il necessario supporto anche tramite un proprio delegato. </w:t>
      </w:r>
    </w:p>
    <w:p>
      <w:pPr>
        <w:pStyle w:val="Normal"/>
        <w:pBdr>
          <w:top w:val="single" w:sz="4" w:space="1" w:color="000000"/>
          <w:left w:val="single" w:sz="4" w:space="4" w:color="000000"/>
          <w:bottom w:val="single" w:sz="4" w:space="1" w:color="000000"/>
          <w:right w:val="single" w:sz="4" w:space="4" w:color="000000"/>
        </w:pBdr>
        <w:rPr>
          <w:rFonts w:eastAsia="Calibri"/>
          <w:b w:val="false"/>
          <w:bCs w:val="false"/>
          <w:color w:val="000000"/>
          <w:sz w:val="20"/>
          <w:szCs w:val="20"/>
        </w:rPr>
      </w:pPr>
      <w:r>
        <w:rPr>
          <w:rFonts w:eastAsia="Calibri"/>
          <w:b w:val="false"/>
          <w:bCs w:val="false"/>
          <w:color w:val="000000"/>
          <w:sz w:val="20"/>
          <w:szCs w:val="20"/>
        </w:rPr>
        <w:t>Sede New Life for Children ETS – Via Nazionale 230 (Codice sede: 233196): la sede è operativa dal lunedì al venerdì, dalle ore 8.00 alle 18.00. Anche in questo caso, possono essere previste aperture straordinarie in relazione ad eventi specifici. La sede prevede una chiusura nelle due settimane centrali di agosto e nella settimana delle festività natalizie. Durante tali periodi, il servizio potrà proseguire in modalità da remoto, con attività definite in accordo con l’OLP, che assicurerà la supervisione necessaria. In entrambi i casi, è garantita la continuità del servizio, nel rispetto del principio di coerenza con gli obiettivi formativi ed esperienziali del progetto.</w:t>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b/>
          <w:bCs/>
          <w:sz w:val="20"/>
          <w:szCs w:val="20"/>
        </w:rPr>
        <w:t>Modalità</w:t>
      </w:r>
      <w:r>
        <w:rPr>
          <w:sz w:val="20"/>
          <w:szCs w:val="20"/>
        </w:rPr>
        <w:t>: Settimanali</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b/>
          <w:bCs/>
          <w:sz w:val="20"/>
          <w:szCs w:val="20"/>
        </w:rPr>
        <w:t>N° Ore Di Servizio Settimanale</w:t>
      </w:r>
      <w:r>
        <w:rPr>
          <w:sz w:val="20"/>
          <w:szCs w:val="20"/>
        </w:rPr>
        <w:t>: 25</w:t>
      </w:r>
    </w:p>
    <w:p>
      <w:pPr>
        <w:pStyle w:val="Normal"/>
        <w:pBdr>
          <w:top w:val="single" w:sz="4" w:space="1" w:color="000000"/>
          <w:left w:val="single" w:sz="4" w:space="4" w:color="000000"/>
          <w:bottom w:val="single" w:sz="4" w:space="1" w:color="000000"/>
          <w:right w:val="single" w:sz="4" w:space="4" w:color="000000"/>
        </w:pBdr>
        <w:rPr>
          <w:rFonts w:eastAsia="Calibri"/>
          <w:color w:val="000000"/>
          <w:sz w:val="20"/>
          <w:szCs w:val="20"/>
        </w:rPr>
      </w:pPr>
      <w:r>
        <w:rPr>
          <w:b/>
          <w:bCs/>
          <w:sz w:val="20"/>
          <w:szCs w:val="20"/>
        </w:rPr>
        <w:t>N° Giorni Di Servizio Settimanali</w:t>
      </w:r>
      <w:r>
        <w:rPr>
          <w:sz w:val="20"/>
          <w:szCs w:val="20"/>
        </w:rPr>
        <w:t>: 5</w:t>
      </w:r>
    </w:p>
    <w:p>
      <w:pPr>
        <w:pStyle w:val="Normal"/>
        <w:rPr>
          <w:sz w:val="20"/>
          <w:szCs w:val="20"/>
          <w:highlight w:val="yellow"/>
        </w:rPr>
      </w:pPr>
      <w:r>
        <w:rPr>
          <w:sz w:val="20"/>
          <w:szCs w:val="20"/>
          <w:highlight w:val="yellow"/>
        </w:rPr>
      </w:r>
    </w:p>
    <w:p>
      <w:pPr>
        <w:pStyle w:val="Normal"/>
        <w:pBdr>
          <w:top w:val="single" w:sz="4" w:space="1" w:color="000000"/>
          <w:left w:val="single" w:sz="4" w:space="4" w:color="000000"/>
          <w:bottom w:val="single" w:sz="4" w:space="1" w:color="000000"/>
          <w:right w:val="single" w:sz="4" w:space="4" w:color="000000"/>
        </w:pBdr>
        <w:rPr>
          <w:rFonts w:eastAsia="Calibri"/>
          <w:b/>
          <w:color w:val="000000"/>
          <w:sz w:val="20"/>
          <w:szCs w:val="20"/>
        </w:rPr>
      </w:pPr>
      <w:r>
        <w:rPr>
          <w:rFonts w:eastAsia="Calibri"/>
          <w:b/>
          <w:color w:val="000000"/>
          <w:sz w:val="20"/>
          <w:szCs w:val="20"/>
        </w:rPr>
        <w:t>CARATTERISTICHE DELLE COMPETENZE ACQUISIBILI:</w:t>
      </w:r>
    </w:p>
    <w:p>
      <w:pPr>
        <w:pStyle w:val="Normal"/>
        <w:pBdr>
          <w:top w:val="single" w:sz="4" w:space="1" w:color="000000"/>
          <w:left w:val="single" w:sz="4" w:space="4" w:color="000000"/>
          <w:bottom w:val="single" w:sz="4" w:space="1" w:color="000000"/>
          <w:right w:val="single" w:sz="4" w:space="4" w:color="000000"/>
        </w:pBdr>
        <w:rPr>
          <w:rFonts w:eastAsia="Calibri"/>
          <w:bCs/>
          <w:color w:val="000000"/>
          <w:sz w:val="20"/>
          <w:szCs w:val="20"/>
        </w:rPr>
      </w:pPr>
      <w:r>
        <w:rPr>
          <w:rFonts w:eastAsia="Calibri"/>
          <w:bCs/>
          <w:color w:val="000000"/>
          <w:sz w:val="20"/>
          <w:szCs w:val="20"/>
        </w:rPr>
      </w:r>
    </w:p>
    <w:p>
      <w:pPr>
        <w:pStyle w:val="Normal"/>
        <w:pBdr>
          <w:top w:val="single" w:sz="4" w:space="1" w:color="000000"/>
          <w:left w:val="single" w:sz="4" w:space="4" w:color="000000"/>
          <w:bottom w:val="single" w:sz="4" w:space="1" w:color="000000"/>
          <w:right w:val="single" w:sz="4" w:space="4" w:color="000000"/>
        </w:pBdr>
        <w:rPr>
          <w:rFonts w:eastAsia="Calibri"/>
          <w:bCs/>
          <w:color w:val="000000"/>
          <w:sz w:val="20"/>
          <w:szCs w:val="20"/>
        </w:rPr>
      </w:pPr>
      <w:r>
        <w:rPr>
          <w:rFonts w:eastAsia="Calibri"/>
          <w:b/>
          <w:bCs/>
          <w:color w:val="000000"/>
          <w:sz w:val="20"/>
          <w:szCs w:val="20"/>
        </w:rPr>
        <w:t>Attestazione/certificazione delle competenze in relazione alle attività svolte durante l’espletamento del servizio</w:t>
      </w:r>
      <w:r>
        <w:rPr>
          <w:rFonts w:eastAsia="Calibri"/>
          <w:bCs/>
          <w:color w:val="000000"/>
          <w:sz w:val="20"/>
          <w:szCs w:val="20"/>
        </w:rPr>
        <w:t>:</w:t>
      </w:r>
    </w:p>
    <w:p>
      <w:pPr>
        <w:pStyle w:val="Normal"/>
        <w:pBdr>
          <w:top w:val="single" w:sz="4" w:space="1" w:color="000000"/>
          <w:left w:val="single" w:sz="4" w:space="4" w:color="000000"/>
          <w:bottom w:val="single" w:sz="4" w:space="1" w:color="000000"/>
          <w:right w:val="single" w:sz="4" w:space="4" w:color="000000"/>
        </w:pBdr>
        <w:rPr>
          <w:rFonts w:eastAsia="Calibri"/>
          <w:bCs/>
          <w:color w:val="000000"/>
          <w:sz w:val="20"/>
          <w:szCs w:val="20"/>
        </w:rPr>
      </w:pPr>
      <w:r>
        <w:rPr>
          <w:rFonts w:eastAsia="Calibri"/>
          <w:bCs/>
          <w:color w:val="000000"/>
          <w:sz w:val="20"/>
          <w:szCs w:val="20"/>
        </w:rPr>
        <w:t>Certificazione delle competenze ai sensi del d.lgs n. 13/2013</w:t>
      </w:r>
    </w:p>
    <w:p>
      <w:pPr>
        <w:pStyle w:val="Normal"/>
        <w:rPr>
          <w:sz w:val="20"/>
          <w:szCs w:val="20"/>
          <w:highlight w:val="yellow"/>
        </w:rPr>
      </w:pPr>
      <w:r>
        <w:rPr>
          <w:sz w:val="20"/>
          <w:szCs w:val="20"/>
          <w:highlight w:val="yellow"/>
        </w:rPr>
      </w:r>
    </w:p>
    <w:p>
      <w:pPr>
        <w:pStyle w:val="Normal"/>
        <w:pBdr>
          <w:top w:val="single" w:sz="4" w:space="0" w:color="000000"/>
          <w:left w:val="single" w:sz="4" w:space="4" w:color="000000"/>
          <w:bottom w:val="single" w:sz="4" w:space="1" w:color="000000"/>
          <w:right w:val="single" w:sz="4" w:space="4" w:color="000000"/>
        </w:pBdr>
        <w:rPr>
          <w:highlight w:val="none"/>
          <w:shd w:fill="auto" w:val="clear"/>
        </w:rPr>
      </w:pPr>
      <w:r>
        <w:rPr>
          <w:rFonts w:eastAsia="Calibri"/>
          <w:b/>
          <w:color w:val="000000"/>
          <w:sz w:val="20"/>
          <w:szCs w:val="20"/>
          <w:shd w:fill="auto" w:val="clear"/>
        </w:rPr>
        <w:t xml:space="preserve">EVENTUALI REQUISITI RICHIESTI: </w:t>
      </w:r>
    </w:p>
    <w:p>
      <w:pPr>
        <w:pStyle w:val="Normal"/>
        <w:pBdr>
          <w:top w:val="single" w:sz="4" w:space="0" w:color="000000"/>
          <w:left w:val="single" w:sz="4" w:space="4" w:color="000000"/>
          <w:bottom w:val="single" w:sz="4" w:space="1" w:color="000000"/>
          <w:right w:val="single" w:sz="4" w:space="4" w:color="000000"/>
        </w:pBdr>
        <w:rPr>
          <w:highlight w:val="none"/>
          <w:shd w:fill="auto" w:val="clear"/>
        </w:rPr>
      </w:pPr>
      <w:bookmarkStart w:id="1" w:name="_Hlk153293507"/>
      <w:bookmarkEnd w:id="1"/>
      <w:r>
        <w:rPr>
          <w:rFonts w:eastAsia="Calibri"/>
          <w:color w:val="000000"/>
          <w:sz w:val="20"/>
          <w:szCs w:val="20"/>
          <w:shd w:fill="auto" w:val="clear"/>
        </w:rPr>
        <w:t>NO</w:t>
      </w:r>
    </w:p>
    <w:p>
      <w:pPr>
        <w:pStyle w:val="Normal"/>
        <w:rPr>
          <w:sz w:val="20"/>
          <w:szCs w:val="20"/>
          <w:highlight w:val="yellow"/>
        </w:rPr>
      </w:pPr>
      <w:r>
        <w:rPr>
          <w:sz w:val="20"/>
          <w:szCs w:val="20"/>
          <w:highlight w:val="yellow"/>
        </w:rPr>
      </w:r>
    </w:p>
    <w:p>
      <w:pPr>
        <w:pStyle w:val="Normal"/>
        <w:pBdr>
          <w:top w:val="single" w:sz="4" w:space="1" w:color="000000"/>
          <w:left w:val="single" w:sz="4" w:space="4" w:color="000000"/>
          <w:bottom w:val="single" w:sz="4" w:space="1" w:color="000000"/>
          <w:right w:val="single" w:sz="4" w:space="4" w:color="000000"/>
        </w:pBdr>
        <w:rPr>
          <w:highlight w:val="none"/>
          <w:shd w:fill="auto" w:val="clear"/>
        </w:rPr>
      </w:pPr>
      <w:r>
        <w:rPr>
          <w:rFonts w:eastAsia="Calibri"/>
          <w:b/>
          <w:color w:val="000000"/>
          <w:sz w:val="20"/>
          <w:szCs w:val="20"/>
          <w:shd w:fill="auto" w:val="clear"/>
        </w:rPr>
        <w:t>DESCRIZIONE DEI CRITERI DI SELEZIONE:</w:t>
      </w:r>
    </w:p>
    <w:p>
      <w:pPr>
        <w:pStyle w:val="Normal"/>
        <w:pBdr>
          <w:top w:val="single" w:sz="4" w:space="1" w:color="000000"/>
          <w:left w:val="single" w:sz="4" w:space="4" w:color="000000"/>
          <w:bottom w:val="single" w:sz="4" w:space="1" w:color="000000"/>
          <w:right w:val="single" w:sz="4" w:space="4" w:color="000000"/>
        </w:pBdr>
        <w:rPr>
          <w:highlight w:val="none"/>
          <w:shd w:fill="FFFF00" w:val="clear"/>
        </w:rPr>
      </w:pPr>
      <w:r>
        <w:rPr>
          <w:rFonts w:eastAsia="Calibri" w:ascii="Times New Roman;serif" w:hAnsi="Times New Roman;serif"/>
          <w:b w:val="false"/>
          <w:i w:val="false"/>
          <w:caps w:val="false"/>
          <w:smallCaps w:val="false"/>
          <w:strike w:val="false"/>
          <w:dstrike w:val="false"/>
          <w:color w:val="000000"/>
          <w:sz w:val="20"/>
          <w:szCs w:val="20"/>
          <w:u w:val="none"/>
          <w:effect w:val="none"/>
          <w:shd w:fill="auto" w:val="clear"/>
        </w:rPr>
        <w:t xml:space="preserve">vedi link: </w:t>
      </w:r>
      <w:hyperlink r:id="rId6">
        <w:r>
          <w:rPr>
            <w:rStyle w:val="Style9"/>
            <w:rFonts w:eastAsia="Calibri" w:ascii="Times New Roman;serif" w:hAnsi="Times New Roman;serif"/>
            <w:b w:val="false"/>
            <w:i w:val="false"/>
            <w:caps w:val="false"/>
            <w:smallCaps w:val="false"/>
            <w:strike w:val="false"/>
            <w:dstrike w:val="false"/>
            <w:color w:val="1155CC"/>
            <w:sz w:val="20"/>
            <w:szCs w:val="20"/>
            <w:u w:val="single"/>
            <w:effect w:val="none"/>
            <w:shd w:fill="auto" w:val="clear"/>
          </w:rPr>
          <w:t>https://www.cipsi.it/wp-content/uploads/2023/12/criteri-selezioni-SCU-CIPSI_2024.pdf</w:t>
        </w:r>
      </w:hyperlink>
    </w:p>
    <w:p>
      <w:pPr>
        <w:pStyle w:val="Normal"/>
        <w:rPr>
          <w:sz w:val="20"/>
          <w:szCs w:val="20"/>
          <w:highlight w:val="yellow"/>
        </w:rPr>
      </w:pPr>
      <w:r>
        <w:rPr>
          <w:sz w:val="20"/>
          <w:szCs w:val="20"/>
          <w:highlight w:val="yellow"/>
        </w:rPr>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t>FORMAZIONE GENERALE DEGLI OPERATORI VOLONTARI:</w:t>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bCs/>
          <w:sz w:val="20"/>
          <w:szCs w:val="20"/>
        </w:rPr>
        <w:t>32 ore, unica tranche.</w:t>
      </w:r>
      <w:r>
        <w:rPr>
          <w:b w:val="false"/>
          <w:bCs w:val="false"/>
          <w:sz w:val="20"/>
          <w:szCs w:val="20"/>
        </w:rPr>
        <w:t xml:space="preserve"> La durata della Formazione Generale sarà di 32 ore, con la possibilità di effettuare il 50% delle ore a distanza online in modalità sincrona e/o asincrona nel rispetto delle disposizioni. Tutte le ore di formazione dichiarate saranno erogate entro il 180° giorno dall'avvio del progetto. La Formazione Generale sarà svolta in proprio con propri Formatori Generali accreditati.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bCs/>
          <w:sz w:val="20"/>
          <w:szCs w:val="20"/>
        </w:rPr>
        <w:t>Metodologie.</w:t>
      </w:r>
      <w:r>
        <w:rPr>
          <w:b w:val="false"/>
          <w:bCs w:val="false"/>
          <w:sz w:val="20"/>
          <w:szCs w:val="20"/>
        </w:rPr>
        <w:t xml:space="preserve"> A livello metodologico per la Formazione generale si alterneranno lezioni frontali e dinamiche non formali svolte in presenza.</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bCs/>
          <w:sz w:val="20"/>
          <w:szCs w:val="20"/>
        </w:rPr>
        <w:t>Le lezioni frontali</w:t>
      </w:r>
      <w:r>
        <w:rPr>
          <w:b w:val="false"/>
          <w:bCs w:val="false"/>
          <w:sz w:val="20"/>
          <w:szCs w:val="20"/>
        </w:rPr>
        <w:t>, informative e alternate ad un confronto e dibattito con i partecipanti avranno lo scopo di approfondire i diversi moduli formativi che verranno sempre seguiti da una riflessione condivisa e da uno spazio per domande e chiarimenti. Esse rappresentano la componente fondamentale della didattica tradizionale e “formale”, in cui ai formatori spetta il compito di trasmettere conoscenze e contenuti.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w:t>
      </w:r>
      <w:r>
        <w:rPr>
          <w:b/>
          <w:bCs/>
          <w:sz w:val="20"/>
          <w:szCs w:val="20"/>
        </w:rPr>
        <w:t xml:space="preserve"> Le lezioni dinamiche non formali</w:t>
      </w:r>
      <w:r>
        <w:rPr>
          <w:b w:val="false"/>
          <w:bCs w:val="false"/>
          <w:sz w:val="20"/>
          <w:szCs w:val="20"/>
        </w:rPr>
        <w:t xml:space="preserve"> faciliteranno l’apprendimento e lo sviluppo di nuove conoscenze e competenze, stimolando le dinamiche di gruppo e l’utilizzo delle risorse interne ad esso, costituite dal patrimonio culturale e dall’esperienza di ciascuno.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bCs/>
          <w:sz w:val="20"/>
          <w:szCs w:val="20"/>
        </w:rPr>
        <w:t>Le tecniche</w:t>
      </w:r>
      <w:r>
        <w:rPr>
          <w:b w:val="false"/>
          <w:bCs w:val="false"/>
          <w:sz w:val="20"/>
          <w:szCs w:val="20"/>
        </w:rPr>
        <w:t xml:space="preserve"> utilizzate saranno tecniche attive: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2) brainstorming per la condivisione e il confronto reciproco alla ricerca di soluzioni;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3) role playing - gioco di ruolo - per l'interpretazione e l’analisi dei comportamenti nelle relazioni interpersonali;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4) tecniche di analisi della situazione che si avvalgono di casi reali per sviluppare le capacità analitiche e la modalità di approccio ad una situazione data;</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5) tecniche di rappresentazione teatrale;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6) lavori di gruppo;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7) tavole rotonde.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Durante le lezioni non formali, la relazione tra formatori e volontari sarà di tipo orizzontale e l’apprendimento è organizzato come un duplice processo in cui le persone, attraverso la partecipazione diretta, l’interazione e lo scambio di esperienze, imparano le une dalle altre in maniera circolare (apprendimento reciproco).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In sintesi, la metodologia scelta è attiva e partecipativa, volta a sviluppare processi di apprendimento autonomi attraverso la scoperta e l’azione, favorendo il confronto di personalità e opinioni diverse. La formazione sarà globalmente un campo esperienziale all'interno del quale sarà possibile esprimere la propria opinione e confrontarsi sentendosi liberi di esprimere il proprio punto di vista e le proprie opinioni senza barriere andando a consolidare la condivisione all'interno del gruppo in formazione, nonché l'approccio critico e costruttivo.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La formazione si intende come il primo passo verso l’integrazione dei volontari nei contesti all’interno dei quali svolgeranno il loro servizio: il gruppo stesso dei volontari, la sede di attuazione del progetto, l’ente, la realtà locale e globale.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Sarà adoperata anche la metodologia della </w:t>
      </w:r>
      <w:r>
        <w:rPr>
          <w:b/>
          <w:bCs/>
          <w:sz w:val="20"/>
          <w:szCs w:val="20"/>
        </w:rPr>
        <w:t>formazione a distanza erogata online</w:t>
      </w:r>
      <w:r>
        <w:rPr>
          <w:b w:val="false"/>
          <w:bCs w:val="false"/>
          <w:sz w:val="20"/>
          <w:szCs w:val="20"/>
        </w:rPr>
        <w:t>, in modalità sincrona e/o asincrona che consoliderà ulteriori argomenti fornendo agli OV la possibilità per ragionare e riflettere in maniera autonoma.</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Il Sistema di Formazione Generale del CIPSI rispetta e segue per quel che concerne metodologia e contenuti quanto indicato nelle “Linee guida per la formazione generale e specifica delle operatrici volontarie e degli operatori volontari in Servizio Civile Universale e per la formazione delle formatrici e dei formatori” approvate con decreto dipartimentale n. 88 del 31 gennaio 2023 e si avvarrà di formatori accreditati e altamente qualificati.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L’obiettivo della FG è formare l’Operatore Volontario in modo completo ai contenuti del Servizio Civile Universale, con i seguenti </w:t>
      </w:r>
      <w:r>
        <w:rPr>
          <w:b/>
          <w:bCs/>
          <w:sz w:val="20"/>
          <w:szCs w:val="20"/>
        </w:rPr>
        <w:t>contenuti previsti dalle Linee Guida</w:t>
      </w:r>
      <w:r>
        <w:rPr>
          <w:b w:val="false"/>
          <w:bCs w:val="false"/>
          <w:sz w:val="20"/>
          <w:szCs w:val="20"/>
        </w:rPr>
        <w:t>: i valori e l’identità del SCU, l’identità del gruppo in formazione e patto formativo, il Sistema del SCU, la storia - dall’obiezione di coscienza al Servizio Civile Universale, il dovere di difesa della Patria - Difesa civile non armata e nonviolenta, la normativa vigente e la Carta di impegno etico, la Cittadinanza Attiva, la formazione civica, le forme di cittadinanza e la cittadinanza digitale, la protezione civile, la rappresentanza degli OV nel SCU, la/il giovane OV nel Sistema del SCU, il lavoro per progetti, l’integrazione del Team, l'organizzazione del SCU e le sue figure, disciplina dei rapporti tra enti e OV del SCU, Comunicazione interpersonale e gestione dei conflitti.</w:t>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r>
    </w:p>
    <w:p>
      <w:pPr>
        <w:pStyle w:val="Normal"/>
        <w:pBdr>
          <w:top w:val="single" w:sz="4" w:space="1" w:color="000000"/>
          <w:left w:val="single" w:sz="4" w:space="4" w:color="000000"/>
          <w:bottom w:val="single" w:sz="4" w:space="1" w:color="000000"/>
          <w:right w:val="single" w:sz="4" w:space="4" w:color="000000"/>
        </w:pBdr>
        <w:rPr>
          <w:sz w:val="20"/>
          <w:szCs w:val="20"/>
        </w:rPr>
      </w:pPr>
      <w:r>
        <w:rPr>
          <w:b/>
          <w:bCs/>
          <w:sz w:val="20"/>
          <w:szCs w:val="20"/>
        </w:rPr>
        <w:t>Durata</w:t>
      </w:r>
      <w:r>
        <w:rPr>
          <w:sz w:val="20"/>
          <w:szCs w:val="20"/>
        </w:rPr>
        <w:t>: 32h</w:t>
      </w:r>
    </w:p>
    <w:p>
      <w:pPr>
        <w:pStyle w:val="Normal"/>
        <w:pBdr>
          <w:top w:val="single" w:sz="4" w:space="1" w:color="000000"/>
          <w:left w:val="single" w:sz="4" w:space="4" w:color="000000"/>
          <w:bottom w:val="single" w:sz="4" w:space="1" w:color="000000"/>
          <w:right w:val="single" w:sz="4" w:space="4" w:color="000000"/>
        </w:pBdr>
        <w:rPr>
          <w:sz w:val="20"/>
          <w:szCs w:val="20"/>
        </w:rPr>
      </w:pPr>
      <w:r>
        <w:rPr>
          <w:sz w:val="20"/>
          <w:szCs w:val="20"/>
        </w:rPr>
      </w:r>
    </w:p>
    <w:p>
      <w:pPr>
        <w:pStyle w:val="Normal"/>
        <w:pBdr>
          <w:top w:val="single" w:sz="4" w:space="1" w:color="000000"/>
          <w:left w:val="single" w:sz="4" w:space="4" w:color="000000"/>
          <w:bottom w:val="single" w:sz="4" w:space="1" w:color="000000"/>
          <w:right w:val="single" w:sz="4" w:space="4" w:color="000000"/>
        </w:pBdr>
        <w:rPr>
          <w:highlight w:val="none"/>
        </w:rPr>
      </w:pPr>
      <w:r>
        <w:rPr>
          <w:b/>
          <w:bCs/>
          <w:sz w:val="20"/>
          <w:szCs w:val="20"/>
          <w:shd w:fill="auto" w:val="clear"/>
        </w:rPr>
        <w:t>Sede di realizzazione Formazione Generale</w:t>
      </w:r>
      <w:r>
        <w:rPr>
          <w:sz w:val="20"/>
          <w:szCs w:val="20"/>
          <w:shd w:fill="auto" w:val="clear"/>
        </w:rPr>
        <w:t>: L’indirizzo della sede della Formazione Generale verrà comunicato prima dell’avvio</w:t>
      </w:r>
    </w:p>
    <w:p>
      <w:pPr>
        <w:pStyle w:val="Normal"/>
        <w:rPr>
          <w:sz w:val="20"/>
          <w:szCs w:val="20"/>
          <w:highlight w:val="yellow"/>
        </w:rPr>
      </w:pPr>
      <w:r>
        <w:rPr>
          <w:sz w:val="20"/>
          <w:szCs w:val="20"/>
          <w:highlight w:val="yellow"/>
        </w:rPr>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t>FORMAZIONE SPECIFICA DEGLI OPERATORI VOLONTARI:</w:t>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La formazione specifica si articola in 10 moduli formativi, per un</w:t>
      </w:r>
      <w:r>
        <w:rPr>
          <w:b/>
          <w:bCs/>
          <w:sz w:val="20"/>
          <w:szCs w:val="20"/>
        </w:rPr>
        <w:t xml:space="preserve"> totale di 72 ore</w:t>
      </w:r>
      <w:r>
        <w:rPr>
          <w:b w:val="false"/>
          <w:bCs w:val="false"/>
          <w:sz w:val="20"/>
          <w:szCs w:val="20"/>
        </w:rPr>
        <w:t>, e si svolgerà entro i primi 90 giorni dall’avvio del progetto. Le attività formative si realizzeranno prevalentemente in presenza presso le sedi accreditate del progetto. Tuttavia, in caso di necessità, in coerenza con quanto previsto e fino a un massimo di 20 ore (pari al 30% del totale) potrà essere erogato in modalità da remoto. L’ente intende avvalersi di questa modalità mista e garantisce che ciascun volontario/a dispone o sarà dotato di adeguati strumenti per partecipare alla formazione da remoto.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Ogni modulo è strettamente collegato a una o più azioni progettuali, in modo da rendere il sapere immediatamente applicabile sul campo e consolidare l’integrazione tra teoria e prassi.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bCs/>
          <w:sz w:val="20"/>
          <w:szCs w:val="20"/>
          <w:u w:val="single"/>
        </w:rPr>
      </w:pPr>
      <w:r>
        <w:rPr>
          <w:b/>
          <w:bCs/>
          <w:sz w:val="20"/>
          <w:szCs w:val="20"/>
          <w:u w:val="single"/>
        </w:rPr>
        <w:t>Metodologie formative specifiche: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Lezioni frontali e partecipate</w:t>
      </w:r>
      <w:r>
        <w:rPr>
          <w:b w:val="false"/>
          <w:bCs w:val="false"/>
          <w:sz w:val="20"/>
          <w:szCs w:val="20"/>
        </w:rPr>
        <w:t xml:space="preserve"> – per introdurre e contestualizzare concetti teorici in ambiti applicativi concreti.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Simulazioni e role playing</w:t>
      </w:r>
      <w:r>
        <w:rPr>
          <w:b w:val="false"/>
          <w:bCs w:val="false"/>
          <w:sz w:val="20"/>
          <w:szCs w:val="20"/>
        </w:rPr>
        <w:t xml:space="preserve"> – per sviluppare competenze trasversali come empatia, ascolto attivo, cooperazione e problem solving.</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Percorsi operativi (learning by doing e ricerca-azione)</w:t>
      </w:r>
      <w:r>
        <w:rPr>
          <w:b w:val="false"/>
          <w:bCs w:val="false"/>
          <w:sz w:val="20"/>
          <w:szCs w:val="20"/>
        </w:rPr>
        <w:t xml:space="preserve"> – per apprendere attraverso esperienza, riflessione critica e ricalibrazione.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Incontri con esperti e testimoni di campo</w:t>
      </w:r>
      <w:r>
        <w:rPr>
          <w:b w:val="false"/>
          <w:bCs w:val="false"/>
          <w:sz w:val="20"/>
          <w:szCs w:val="20"/>
        </w:rPr>
        <w:t xml:space="preserve"> – per connettere teoria e pratica con esempi concreti e contestuali.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bCs/>
          <w:sz w:val="20"/>
          <w:szCs w:val="20"/>
        </w:rPr>
        <w:t>Strumenti di riflessione individuale</w:t>
      </w:r>
      <w:r>
        <w:rPr>
          <w:b w:val="false"/>
          <w:bCs w:val="false"/>
          <w:sz w:val="20"/>
          <w:szCs w:val="20"/>
        </w:rPr>
        <w:t xml:space="preserve"> – come diari di bordo, griglie di auto-osservazione, tecniche autobiografiche, questionari ex ante/ex post.</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bCs/>
          <w:sz w:val="20"/>
          <w:szCs w:val="20"/>
          <w:u w:val="single"/>
        </w:rPr>
      </w:pPr>
      <w:r>
        <w:rPr>
          <w:b/>
          <w:bCs/>
          <w:sz w:val="20"/>
          <w:szCs w:val="20"/>
          <w:u w:val="single"/>
        </w:rPr>
        <w:t>Finalità dei moduli formativi: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Fornire strumenti tecnici e metodologici</w:t>
      </w:r>
      <w:r>
        <w:rPr>
          <w:b w:val="false"/>
          <w:bCs w:val="false"/>
          <w:sz w:val="20"/>
          <w:szCs w:val="20"/>
        </w:rPr>
        <w:t xml:space="preserve"> per lo svolgimento efficace e consapevole delle attività previste dal progetto;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 xml:space="preserve">Sostenere l’acquisizione di competenze trasversali e relazionali </w:t>
      </w:r>
      <w:r>
        <w:rPr>
          <w:b w:val="false"/>
          <w:bCs w:val="false"/>
          <w:sz w:val="20"/>
          <w:szCs w:val="20"/>
        </w:rPr>
        <w:t>fondamentali per lavorare nei contesti educativi e sociali ad alta complessità;</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Sviluppare nei volontari una maggiore consapevolezza del proprio ruolo educativo</w:t>
      </w:r>
      <w:r>
        <w:rPr>
          <w:b w:val="false"/>
          <w:bCs w:val="false"/>
          <w:sz w:val="20"/>
          <w:szCs w:val="20"/>
        </w:rPr>
        <w:t xml:space="preserve"> e del contributo che possono offrire nella costruzione di comunità inclusive e solidali;</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Rafforzare la capacità di cooperare, comunicare e progettare in gruppo</w:t>
      </w:r>
      <w:r>
        <w:rPr>
          <w:b w:val="false"/>
          <w:bCs w:val="false"/>
          <w:sz w:val="20"/>
          <w:szCs w:val="20"/>
        </w:rPr>
        <w:t>, alimentando un senso di appartenenza al progetto, al territorio e ai valori del SCU;</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 </w:t>
      </w:r>
      <w:r>
        <w:rPr>
          <w:b/>
          <w:bCs/>
          <w:sz w:val="20"/>
          <w:szCs w:val="20"/>
        </w:rPr>
        <w:t>Stimolare una riflessione critica sui temi della pace</w:t>
      </w:r>
      <w:r>
        <w:rPr>
          <w:b w:val="false"/>
          <w:bCs w:val="false"/>
          <w:sz w:val="20"/>
          <w:szCs w:val="20"/>
        </w:rPr>
        <w:t>, dell’equità, della nonviolenza, dell’inclusione e della sostenibilità, rendendo la formazione uno spazio trasformativo e generativo.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Moduli della formazione specifica e loro contenuti con l’indicazione della durata di ciascun modulo (*)</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Il percorso di formazione è composto da 5 aree tematiche:</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1. L’area generale (24 ore) fornisce le basi istituzionali, normative e valoriali del progetto e dell’ente, promuovendo un senso di appartenenza, responsabilità e Sicurezza;</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2. L’area educativa per la cultura della pace a scuola (14 ore) offre metodologie attive per facilitare il dialogo, la cooperazione e la gestione nonviolenta dei conflitti nei contesti scolastici. È riferita all’azione 1 del progetto;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3. L’area socio-affettiva e relazionale (11 ore) sviluppa le competenze emotive e interpersonali necessarie a costruire relazioni significative e inclusive con minori e gruppi eterogenei. È riferita all’azione 2 del progetto;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 xml:space="preserve">    </w:t>
      </w:r>
      <w:r>
        <w:rPr>
          <w:b w:val="false"/>
          <w:bCs w:val="false"/>
          <w:sz w:val="20"/>
          <w:szCs w:val="20"/>
        </w:rPr>
        <w:t>4. L’area dedicata all’intervento nei territori (14 ore) potenzia le capacità di lettura del contesto e progettazione sociale, stimolando consapevolezza critica e azione trasformativa. È riferita all’azione 3 del progetto;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t>5. L’area su comunicazione e sostenibilità (9 ore) abilita i volontari a raccontare esperienze e valori, promuovendo partecipazione attiva, advocacy e raccolta fondi a sostegno dei progetti. È riferita all’azione 4 del progetto.</w:t>
      </w:r>
    </w:p>
    <w:p>
      <w:pPr>
        <w:pStyle w:val="Normal"/>
        <w:pBdr>
          <w:top w:val="single" w:sz="4" w:space="1" w:color="000000"/>
          <w:left w:val="single" w:sz="4" w:space="4" w:color="000000"/>
          <w:bottom w:val="single" w:sz="4" w:space="1" w:color="000000"/>
          <w:right w:val="single" w:sz="4" w:space="4" w:color="000000"/>
        </w:pBdr>
        <w:rPr>
          <w:b w:val="false"/>
          <w:bCs w:val="false"/>
          <w:sz w:val="20"/>
          <w:szCs w:val="20"/>
        </w:rPr>
      </w:pPr>
      <w:r>
        <w:rPr>
          <w:b w:val="false"/>
          <w:bCs w:val="false"/>
          <w:sz w:val="20"/>
          <w:szCs w:val="20"/>
        </w:rPr>
      </w:r>
    </w:p>
    <w:tbl>
      <w:tblPr>
        <w:tblStyle w:val="Table6"/>
        <w:tblW w:w="9360" w:type="dxa"/>
        <w:jc w:val="start"/>
        <w:tblInd w:w="70" w:type="dxa"/>
        <w:tblLayout w:type="fixed"/>
        <w:tblCellMar>
          <w:top w:w="0" w:type="dxa"/>
          <w:start w:w="108" w:type="dxa"/>
          <w:bottom w:w="0" w:type="dxa"/>
          <w:end w:w="108" w:type="dxa"/>
        </w:tblCellMar>
        <w:tblLook w:val="0400"/>
      </w:tblPr>
      <w:tblGrid>
        <w:gridCol w:w="9360"/>
      </w:tblGrid>
      <w:tr>
        <w:trPr/>
        <w:tc>
          <w:tcPr>
            <w:tcW w:w="9360" w:type="dxa"/>
            <w:tcBorders>
              <w:top w:val="single" w:sz="4" w:space="0" w:color="000000"/>
              <w:start w:val="single" w:sz="4" w:space="0" w:color="000000"/>
              <w:bottom w:val="single" w:sz="4" w:space="0" w:color="000000"/>
              <w:end w:val="single" w:sz="4" w:space="0" w:color="000000"/>
            </w:tcBorders>
            <w:shd w:fill="auto" w:val="clear"/>
            <w:vAlign w:val="center"/>
          </w:tcPr>
          <w:p>
            <w:pPr>
              <w:pStyle w:val="Normal"/>
              <w:widowControl w:val="false"/>
              <w:spacing w:before="0" w:after="200"/>
              <w:rPr>
                <w:sz w:val="22"/>
                <w:szCs w:val="22"/>
              </w:rPr>
            </w:pPr>
            <w:r>
              <w:rPr>
                <w:b/>
                <w:color w:val="000000"/>
                <w:sz w:val="22"/>
                <w:szCs w:val="22"/>
              </w:rPr>
              <w:t>I MODULO: AREA GENERALE, 24 h</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1.1 Sicurezza e tutela dell’operatore</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1.2 Presentazione ente</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1.3 Attività progetto SCU</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1.4 Policy operative New Life for Children</w:t>
            </w:r>
          </w:p>
        </w:tc>
      </w:tr>
      <w:tr>
        <w:trPr/>
        <w:tc>
          <w:tcPr>
            <w:tcW w:w="9360" w:type="dxa"/>
            <w:tcBorders>
              <w:top w:val="single" w:sz="4" w:space="0" w:color="000000"/>
              <w:start w:val="single" w:sz="4" w:space="0" w:color="000000"/>
              <w:bottom w:val="single" w:sz="4" w:space="0" w:color="000000"/>
              <w:end w:val="single" w:sz="4" w:space="0" w:color="000000"/>
            </w:tcBorders>
            <w:vAlign w:val="bottom"/>
          </w:tcPr>
          <w:p>
            <w:pPr>
              <w:pStyle w:val="Normal"/>
              <w:widowControl w:val="false"/>
              <w:spacing w:before="0" w:after="200"/>
              <w:rPr>
                <w:sz w:val="22"/>
                <w:szCs w:val="22"/>
              </w:rPr>
            </w:pPr>
            <w:r>
              <w:rPr>
                <w:color w:val="000000"/>
                <w:sz w:val="22"/>
                <w:szCs w:val="22"/>
              </w:rPr>
              <w:t>1.5 Come si costruisce un progetto educativo</w:t>
            </w:r>
          </w:p>
        </w:tc>
      </w:tr>
      <w:tr>
        <w:trPr/>
        <w:tc>
          <w:tcPr>
            <w:tcW w:w="9360" w:type="dxa"/>
            <w:tcBorders>
              <w:top w:val="single" w:sz="4" w:space="0" w:color="000000"/>
              <w:start w:val="single" w:sz="4" w:space="0" w:color="000000"/>
              <w:bottom w:val="single" w:sz="4" w:space="0" w:color="000000"/>
              <w:end w:val="single" w:sz="4" w:space="0" w:color="000000"/>
            </w:tcBorders>
            <w:vAlign w:val="bottom"/>
          </w:tcPr>
          <w:p>
            <w:pPr>
              <w:pStyle w:val="Normal"/>
              <w:widowControl w:val="false"/>
              <w:spacing w:before="0" w:after="200"/>
              <w:rPr>
                <w:sz w:val="22"/>
                <w:szCs w:val="22"/>
              </w:rPr>
            </w:pPr>
            <w:r>
              <w:rPr>
                <w:b/>
                <w:color w:val="000000"/>
                <w:sz w:val="22"/>
                <w:szCs w:val="22"/>
              </w:rPr>
              <w:t>II MODULO:  PRATICHE EDUCATIVE PER LA CULTURA DELLA PACE A SCUOLA, 14 h</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2.1 EducarSI alla nonviolenza</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2.2 Cooperazione e inclusione tra pari</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b/>
                <w:color w:val="000000"/>
                <w:sz w:val="22"/>
                <w:szCs w:val="22"/>
              </w:rPr>
              <w:t>III MODULO: EDUCAZIONE SOCIO-AFFETTIVA E LA RELAZIONE DI VALORE, 11 h</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3.1 Emozioni e relazioni</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3.2 Oltre i confini</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b/>
                <w:color w:val="000000"/>
                <w:sz w:val="22"/>
                <w:szCs w:val="22"/>
              </w:rPr>
              <w:t>IV MODULO: CRESCERE COME OPERATORI DI PACE NEI TERRITORI (AZIONE 3 PROGETTO), 14 h</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4.1 Educare in contesti complessi</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lineRule="auto" w:line="240" w:before="0" w:after="0"/>
              <w:rPr>
                <w:sz w:val="22"/>
                <w:szCs w:val="22"/>
              </w:rPr>
            </w:pPr>
            <w:r>
              <w:rPr>
                <w:color w:val="000000"/>
                <w:sz w:val="22"/>
                <w:szCs w:val="22"/>
              </w:rPr>
              <w:t>4.2 Progettare il cambiamento</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b/>
                <w:color w:val="000000"/>
                <w:sz w:val="22"/>
                <w:szCs w:val="22"/>
              </w:rPr>
              <w:t>V MODULO: RACCONTARE LA PACE - COMUNICAZIONE, PARTECIPAZIONE E SOSTENIBILITÀ, 9 h</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5.1 Comunicare per trasformare</w:t>
            </w:r>
          </w:p>
        </w:tc>
      </w:tr>
      <w:tr>
        <w:trPr/>
        <w:tc>
          <w:tcPr>
            <w:tcW w:w="9360"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pacing w:before="0" w:after="200"/>
              <w:rPr>
                <w:sz w:val="22"/>
                <w:szCs w:val="22"/>
              </w:rPr>
            </w:pPr>
            <w:r>
              <w:rPr>
                <w:color w:val="000000"/>
                <w:sz w:val="22"/>
                <w:szCs w:val="22"/>
              </w:rPr>
              <w:t>5.2 Fundraising partecipato</w:t>
            </w:r>
          </w:p>
        </w:tc>
      </w:tr>
    </w:tbl>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Durata</w:t>
      </w:r>
      <w:r>
        <w:rPr>
          <w:sz w:val="20"/>
          <w:szCs w:val="20"/>
        </w:rPr>
        <w:t>: 72h</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Modalità di erogazione</w:t>
      </w:r>
      <w:r>
        <w:rPr>
          <w:sz w:val="20"/>
          <w:szCs w:val="20"/>
        </w:rPr>
        <w:t>: Unica Tranche</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Sede di realizzazione Formazione Specifica</w:t>
      </w:r>
      <w:r>
        <w:rPr>
          <w:sz w:val="20"/>
          <w:szCs w:val="20"/>
        </w:rPr>
        <w:t>: La sede di realizzazione della formazione specifica coincide con la sede di attuazione del progetto</w:t>
      </w:r>
    </w:p>
    <w:p>
      <w:pPr>
        <w:pStyle w:val="Normal"/>
        <w:jc w:val="center"/>
        <w:rPr>
          <w:b/>
          <w:sz w:val="20"/>
          <w:szCs w:val="20"/>
          <w:highlight w:val="yellow"/>
        </w:rPr>
      </w:pPr>
      <w:r>
        <w:rPr>
          <w:b/>
          <w:sz w:val="20"/>
          <w:szCs w:val="20"/>
          <w:highlight w:val="yellow"/>
        </w:rPr>
      </w:r>
    </w:p>
    <w:p>
      <w:pPr>
        <w:pStyle w:val="Normal"/>
        <w:pBdr>
          <w:top w:val="single" w:sz="4" w:space="1" w:color="000000"/>
          <w:left w:val="single" w:sz="4" w:space="4" w:color="000000"/>
          <w:bottom w:val="single" w:sz="4" w:space="0" w:color="000000"/>
          <w:right w:val="single" w:sz="4" w:space="4" w:color="000000"/>
        </w:pBdr>
        <w:rPr>
          <w:b/>
          <w:sz w:val="20"/>
          <w:szCs w:val="20"/>
        </w:rPr>
      </w:pPr>
      <w:r>
        <w:rPr>
          <w:b/>
          <w:sz w:val="20"/>
          <w:szCs w:val="20"/>
        </w:rPr>
        <w:t>TITOLO DEL PROGRAMMA DI INTERVENTO CUI FA CAPO IL PROGETTO:</w:t>
      </w:r>
    </w:p>
    <w:p>
      <w:pPr>
        <w:pStyle w:val="Normal"/>
        <w:pBdr>
          <w:top w:val="single" w:sz="4" w:space="1" w:color="000000"/>
          <w:left w:val="single" w:sz="4" w:space="4" w:color="000000"/>
          <w:bottom w:val="single" w:sz="4" w:space="0" w:color="000000"/>
          <w:right w:val="single" w:sz="4" w:space="4" w:color="000000"/>
        </w:pBdr>
        <w:rPr>
          <w:bCs/>
          <w:sz w:val="20"/>
          <w:szCs w:val="20"/>
        </w:rPr>
      </w:pPr>
      <w:r>
        <w:rPr>
          <w:bCs/>
          <w:sz w:val="20"/>
          <w:szCs w:val="20"/>
        </w:rPr>
        <w:t>Giustizia sociale e cultura della Pace a Roma</w:t>
      </w:r>
    </w:p>
    <w:p>
      <w:pPr>
        <w:pStyle w:val="Normal"/>
        <w:rPr>
          <w:sz w:val="20"/>
          <w:szCs w:val="20"/>
          <w:highlight w:val="yellow"/>
        </w:rPr>
      </w:pPr>
      <w:r>
        <w:rPr>
          <w:sz w:val="20"/>
          <w:szCs w:val="20"/>
          <w:highlight w:val="yellow"/>
        </w:rPr>
      </w:r>
    </w:p>
    <w:tbl>
      <w:tblPr>
        <w:tblW w:w="9591" w:type="dxa"/>
        <w:jc w:val="start"/>
        <w:tblInd w:w="-46" w:type="dxa"/>
        <w:tblLayout w:type="fixed"/>
        <w:tblCellMar>
          <w:top w:w="0" w:type="dxa"/>
          <w:start w:w="70" w:type="dxa"/>
          <w:bottom w:w="0" w:type="dxa"/>
          <w:end w:w="70" w:type="dxa"/>
        </w:tblCellMar>
        <w:tblLook w:val="0000" w:noHBand="0" w:noVBand="0" w:firstColumn="0" w:lastRow="0" w:lastColumn="0" w:firstRow="0"/>
      </w:tblPr>
      <w:tblGrid>
        <w:gridCol w:w="9591"/>
      </w:tblGrid>
      <w:tr>
        <w:trPr>
          <w:trHeight w:val="496" w:hRule="atLeast"/>
        </w:trPr>
        <w:tc>
          <w:tcPr>
            <w:tcW w:w="9591" w:type="dxa"/>
            <w:tcBorders>
              <w:top w:val="single" w:sz="4" w:space="0" w:color="000000"/>
              <w:start w:val="single" w:sz="4" w:space="0" w:color="000000"/>
              <w:bottom w:val="single" w:sz="4" w:space="0" w:color="000000"/>
              <w:end w:val="single" w:sz="4" w:space="0" w:color="000000"/>
            </w:tcBorders>
          </w:tcPr>
          <w:p>
            <w:pPr>
              <w:pStyle w:val="Normal"/>
              <w:widowControl w:val="false"/>
              <w:ind w:hanging="0" w:start="-24"/>
              <w:rPr>
                <w:b/>
                <w:sz w:val="20"/>
                <w:szCs w:val="20"/>
              </w:rPr>
            </w:pPr>
            <w:r>
              <w:rPr>
                <w:b/>
                <w:sz w:val="20"/>
                <w:szCs w:val="20"/>
              </w:rPr>
              <w:t xml:space="preserve">OBIETTIVO/I AGENDA 2030 DELLE NAZIONI UNITE: </w:t>
            </w:r>
          </w:p>
          <w:p>
            <w:pPr>
              <w:pStyle w:val="Normal"/>
              <w:widowControl w:val="false"/>
              <w:rPr>
                <w:sz w:val="20"/>
                <w:szCs w:val="20"/>
              </w:rPr>
            </w:pPr>
            <w:r>
              <w:rPr>
                <w:sz w:val="20"/>
                <w:szCs w:val="20"/>
              </w:rPr>
              <w:t xml:space="preserve">Il progetto concorre al Programma attraverso il  perseguimento dei seguenti </w:t>
            </w:r>
            <w:r>
              <w:rPr>
                <w:b/>
                <w:bCs/>
                <w:sz w:val="20"/>
                <w:szCs w:val="20"/>
              </w:rPr>
              <w:t>Obiettivi Strategici dell’Agenda 2030</w:t>
            </w:r>
            <w:r>
              <w:rPr>
                <w:sz w:val="20"/>
                <w:szCs w:val="20"/>
              </w:rPr>
              <w:t>:</w:t>
            </w:r>
          </w:p>
          <w:p>
            <w:pPr>
              <w:pStyle w:val="Normal"/>
              <w:widowControl w:val="false"/>
              <w:rPr>
                <w:sz w:val="20"/>
                <w:szCs w:val="20"/>
              </w:rPr>
            </w:pPr>
            <w:r>
              <w:rPr>
                <w:b/>
                <w:bCs/>
                <w:sz w:val="20"/>
                <w:szCs w:val="20"/>
                <w:u w:val="single"/>
              </w:rPr>
              <w:t xml:space="preserve">Obiettivo 10: RIDURRE LE DISUGUAGLIANZE </w:t>
            </w:r>
            <w:r>
              <w:rPr>
                <w:sz w:val="20"/>
                <w:szCs w:val="20"/>
                <w:u w:val="single"/>
              </w:rPr>
              <w:t>- Ridurre l'ineguaglianza all'interno di e fra le Nazioni</w:t>
            </w:r>
            <w:r>
              <w:rPr>
                <w:sz w:val="20"/>
                <w:szCs w:val="20"/>
              </w:rPr>
              <w:t>:</w:t>
            </w:r>
          </w:p>
          <w:p>
            <w:pPr>
              <w:pStyle w:val="Normal"/>
              <w:widowControl w:val="false"/>
              <w:rPr>
                <w:sz w:val="20"/>
                <w:szCs w:val="20"/>
              </w:rPr>
            </w:pPr>
            <w:r>
              <w:rPr>
                <w:b/>
                <w:bCs/>
                <w:sz w:val="20"/>
                <w:szCs w:val="20"/>
              </w:rPr>
              <w:t>10.2</w:t>
            </w:r>
            <w:r>
              <w:rPr>
                <w:sz w:val="20"/>
                <w:szCs w:val="20"/>
              </w:rPr>
              <w:t xml:space="preserve"> Entro il 2030, potenziare e promuovere l'inclusione sociale, economica e politica di tutti, a prescindere da età, sesso, disabilità, razza, etnia, origine, religione, status economico o altro;</w:t>
            </w:r>
          </w:p>
          <w:p>
            <w:pPr>
              <w:pStyle w:val="Normal"/>
              <w:widowControl w:val="false"/>
              <w:rPr>
                <w:sz w:val="20"/>
                <w:szCs w:val="20"/>
              </w:rPr>
            </w:pPr>
            <w:r>
              <w:rPr>
                <w:sz w:val="20"/>
                <w:szCs w:val="20"/>
              </w:rPr>
              <w:t>A questo target corrisponde l’azione: 1, 2, 3, 4;</w:t>
            </w:r>
          </w:p>
          <w:p>
            <w:pPr>
              <w:pStyle w:val="Normal"/>
              <w:widowControl w:val="false"/>
              <w:rPr>
                <w:sz w:val="20"/>
                <w:szCs w:val="20"/>
              </w:rPr>
            </w:pPr>
            <w:r>
              <w:rPr>
                <w:sz w:val="20"/>
                <w:szCs w:val="20"/>
              </w:rPr>
            </w:r>
          </w:p>
          <w:p>
            <w:pPr>
              <w:pStyle w:val="Normal"/>
              <w:widowControl w:val="false"/>
              <w:rPr>
                <w:sz w:val="20"/>
                <w:szCs w:val="20"/>
              </w:rPr>
            </w:pPr>
            <w:r>
              <w:rPr>
                <w:b/>
                <w:bCs/>
                <w:sz w:val="20"/>
                <w:szCs w:val="20"/>
                <w:u w:val="single"/>
              </w:rPr>
              <w:t>Obiettivo 16: PACE, GIUSTIZIA E ISTITUZIONI SOLIDE</w:t>
            </w:r>
            <w:r>
              <w:rPr>
                <w:sz w:val="20"/>
                <w:szCs w:val="20"/>
                <w:u w:val="single"/>
              </w:rPr>
              <w:t xml:space="preserve"> - Promuovere società pacifiche e più inclusive per uno sviluppo sostenibile; offrire l'accesso alla giustizia per tutti e creare organismi efficienti, responsabili e inclusivi a tutti i livelli</w:t>
            </w:r>
            <w:r>
              <w:rPr>
                <w:sz w:val="20"/>
                <w:szCs w:val="20"/>
              </w:rPr>
              <w:t>:</w:t>
            </w:r>
          </w:p>
          <w:p>
            <w:pPr>
              <w:pStyle w:val="Normal"/>
              <w:widowControl w:val="false"/>
              <w:rPr>
                <w:sz w:val="20"/>
                <w:szCs w:val="20"/>
              </w:rPr>
            </w:pPr>
            <w:r>
              <w:rPr>
                <w:b/>
                <w:bCs/>
                <w:sz w:val="20"/>
                <w:szCs w:val="20"/>
              </w:rPr>
              <w:t>16.1</w:t>
            </w:r>
            <w:r>
              <w:rPr>
                <w:sz w:val="20"/>
                <w:szCs w:val="20"/>
              </w:rPr>
              <w:t xml:space="preserve"> Ridurre significativamente in ogni dove tutte le forme di violenza e i tassi di mortalità connessi;</w:t>
            </w:r>
          </w:p>
          <w:p>
            <w:pPr>
              <w:pStyle w:val="Normal"/>
              <w:widowControl w:val="false"/>
              <w:rPr>
                <w:sz w:val="20"/>
                <w:szCs w:val="20"/>
              </w:rPr>
            </w:pPr>
            <w:r>
              <w:rPr>
                <w:sz w:val="20"/>
                <w:szCs w:val="20"/>
              </w:rPr>
              <w:t>A questo target corrisponde l’azione: 1, 2, 3, 4;</w:t>
            </w:r>
          </w:p>
          <w:p>
            <w:pPr>
              <w:pStyle w:val="Normal"/>
              <w:widowControl w:val="false"/>
              <w:rPr>
                <w:sz w:val="20"/>
                <w:szCs w:val="20"/>
              </w:rPr>
            </w:pPr>
            <w:r>
              <w:rPr>
                <w:b/>
                <w:bCs/>
                <w:sz w:val="20"/>
                <w:szCs w:val="20"/>
              </w:rPr>
              <w:t>16.2</w:t>
            </w:r>
            <w:r>
              <w:rPr>
                <w:sz w:val="20"/>
                <w:szCs w:val="20"/>
              </w:rPr>
              <w:t xml:space="preserve"> Eliminare l'abuso, lo sfruttamento, il traffico e tutte le forme di violenza e tortura contro i bambini;</w:t>
            </w:r>
          </w:p>
          <w:p>
            <w:pPr>
              <w:pStyle w:val="Normal"/>
              <w:widowControl w:val="false"/>
              <w:rPr>
                <w:sz w:val="20"/>
                <w:szCs w:val="20"/>
              </w:rPr>
            </w:pPr>
            <w:r>
              <w:rPr>
                <w:sz w:val="20"/>
                <w:szCs w:val="20"/>
              </w:rPr>
              <w:t>A questo target corrisponde l’azione: 1, 2, 3, 4;</w:t>
            </w:r>
          </w:p>
          <w:p>
            <w:pPr>
              <w:pStyle w:val="Normal"/>
              <w:widowControl w:val="false"/>
              <w:rPr>
                <w:sz w:val="20"/>
                <w:szCs w:val="20"/>
              </w:rPr>
            </w:pPr>
            <w:r>
              <w:rPr>
                <w:b/>
                <w:bCs/>
                <w:sz w:val="20"/>
                <w:szCs w:val="20"/>
              </w:rPr>
              <w:t xml:space="preserve">16.7 </w:t>
            </w:r>
            <w:r>
              <w:rPr>
                <w:sz w:val="20"/>
                <w:szCs w:val="20"/>
              </w:rPr>
              <w:t>Assicurare un processo decisionale reattivo, inclusivo, partecipativo e rappresentativo a tutti i livelli;</w:t>
            </w:r>
          </w:p>
          <w:p>
            <w:pPr>
              <w:pStyle w:val="Normal"/>
              <w:widowControl w:val="false"/>
              <w:rPr>
                <w:sz w:val="20"/>
                <w:szCs w:val="20"/>
              </w:rPr>
            </w:pPr>
            <w:r>
              <w:rPr>
                <w:sz w:val="20"/>
                <w:szCs w:val="20"/>
              </w:rPr>
              <w:t>A questo target corrisponde l’azione: 3, 4;</w:t>
            </w:r>
          </w:p>
          <w:p>
            <w:pPr>
              <w:pStyle w:val="Normal"/>
              <w:widowControl w:val="false"/>
              <w:rPr>
                <w:sz w:val="20"/>
                <w:szCs w:val="20"/>
              </w:rPr>
            </w:pPr>
            <w:r>
              <w:rPr>
                <w:sz w:val="20"/>
                <w:szCs w:val="20"/>
              </w:rPr>
            </w:r>
          </w:p>
          <w:p>
            <w:pPr>
              <w:pStyle w:val="Normal"/>
              <w:widowControl w:val="false"/>
              <w:rPr>
                <w:sz w:val="20"/>
                <w:szCs w:val="20"/>
              </w:rPr>
            </w:pPr>
            <w:r>
              <w:rPr>
                <w:b/>
                <w:bCs/>
                <w:sz w:val="20"/>
                <w:szCs w:val="20"/>
              </w:rPr>
              <w:t>Obiettivo indiretto del Programma</w:t>
            </w:r>
            <w:r>
              <w:rPr>
                <w:sz w:val="20"/>
                <w:szCs w:val="20"/>
              </w:rPr>
              <w:t xml:space="preserve"> è:</w:t>
            </w:r>
          </w:p>
          <w:p>
            <w:pPr>
              <w:pStyle w:val="Normal"/>
              <w:widowControl w:val="false"/>
              <w:rPr>
                <w:sz w:val="20"/>
                <w:szCs w:val="20"/>
              </w:rPr>
            </w:pPr>
            <w:r>
              <w:rPr>
                <w:b/>
                <w:bCs/>
                <w:sz w:val="20"/>
                <w:szCs w:val="20"/>
                <w:u w:val="single"/>
              </w:rPr>
              <w:t>Obiettivo 4: ISTRUZIONE DI QUALITÀ</w:t>
            </w:r>
            <w:r>
              <w:rPr>
                <w:sz w:val="20"/>
                <w:szCs w:val="20"/>
                <w:u w:val="single"/>
              </w:rPr>
              <w:t xml:space="preserve"> - Assicurare un’istruzione di qualità, equa ed inclusiva, e promuovere opportunità di apprendimento permanente per tutti</w:t>
            </w:r>
            <w:r>
              <w:rPr>
                <w:sz w:val="20"/>
                <w:szCs w:val="20"/>
              </w:rPr>
              <w:t>:</w:t>
            </w:r>
          </w:p>
          <w:p>
            <w:pPr>
              <w:pStyle w:val="Normal"/>
              <w:widowControl w:val="false"/>
              <w:rPr>
                <w:sz w:val="20"/>
                <w:szCs w:val="20"/>
              </w:rPr>
            </w:pPr>
            <w:r>
              <w:rPr>
                <w:b/>
                <w:bCs/>
                <w:sz w:val="20"/>
                <w:szCs w:val="20"/>
              </w:rPr>
              <w:t>4.7</w:t>
            </w:r>
            <w:r>
              <w:rPr>
                <w:sz w:val="20"/>
                <w:szCs w:val="20"/>
              </w:rPr>
              <w:t xml:space="preserve"> Entro il 2030, assicurarsi che tutti i discenti acquisiscano le conoscenze e le competenze necessarie per promuovere lo sviluppo sostenibile attraverso, tra l’altro, l'educazione per lo sviluppo sostenibile e stili di vita sostenibili, i diritti umani, l'uguaglianza di genere, la promozione di una cultura di pace e di non violenza, la cittadinanza globale e la valorizzazione della diversità culturale e del contributo della cultura allo sviluppo sostenibile; </w:t>
            </w:r>
          </w:p>
          <w:p>
            <w:pPr>
              <w:pStyle w:val="Normal"/>
              <w:widowControl w:val="false"/>
              <w:rPr>
                <w:sz w:val="20"/>
                <w:szCs w:val="20"/>
              </w:rPr>
            </w:pPr>
            <w:r>
              <w:rPr>
                <w:sz w:val="20"/>
                <w:szCs w:val="20"/>
              </w:rPr>
              <w:t>A questo target corrisponde l’azione: 1, 2, 3.</w:t>
            </w:r>
          </w:p>
        </w:tc>
      </w:tr>
    </w:tbl>
    <w:p>
      <w:pPr>
        <w:pStyle w:val="Normal"/>
        <w:rPr>
          <w:sz w:val="20"/>
          <w:szCs w:val="20"/>
        </w:rPr>
      </w:pPr>
      <w:r>
        <w:rPr>
          <w:sz w:val="20"/>
          <w:szCs w:val="20"/>
        </w:rPr>
      </w:r>
    </w:p>
    <w:p>
      <w:pPr>
        <w:pStyle w:val="Normal"/>
        <w:pBdr>
          <w:top w:val="single" w:sz="4" w:space="1" w:color="000000"/>
          <w:left w:val="single" w:sz="4" w:space="4" w:color="000000"/>
          <w:bottom w:val="single" w:sz="4" w:space="1" w:color="000000"/>
          <w:right w:val="single" w:sz="4" w:space="4" w:color="000000"/>
        </w:pBdr>
        <w:rPr>
          <w:highlight w:val="none"/>
          <w:shd w:fill="auto" w:val="clear"/>
        </w:rPr>
      </w:pPr>
      <w:r>
        <w:rPr>
          <w:b/>
          <w:sz w:val="20"/>
          <w:szCs w:val="20"/>
          <w:shd w:fill="auto" w:val="clear"/>
        </w:rPr>
        <w:t>AMBITO DI AZIONE DEL PROGRAMMA:</w:t>
      </w:r>
    </w:p>
    <w:p>
      <w:pPr>
        <w:pStyle w:val="Normal"/>
        <w:pBdr>
          <w:top w:val="single" w:sz="4" w:space="1" w:color="000000"/>
          <w:left w:val="single" w:sz="4" w:space="4" w:color="000000"/>
          <w:bottom w:val="single" w:sz="4" w:space="1" w:color="000000"/>
          <w:right w:val="single" w:sz="4" w:space="4" w:color="000000"/>
        </w:pBdr>
        <w:rPr/>
      </w:pPr>
      <w:r>
        <w:rPr>
          <w:rStyle w:val="CollegamentoInternetuser"/>
          <w:rFonts w:eastAsia="Calibri" w:ascii="Times new roman" w:hAnsi="Times new roman"/>
          <w:b w:val="false"/>
          <w:i w:val="false"/>
          <w:caps w:val="false"/>
          <w:smallCaps w:val="false"/>
          <w:strike w:val="false"/>
          <w:dstrike w:val="false"/>
          <w:color w:val="000000"/>
          <w:sz w:val="20"/>
          <w:szCs w:val="20"/>
          <w:u w:val="single"/>
          <w:effect w:val="none"/>
          <w:shd w:fill="auto" w:val="clear"/>
        </w:rPr>
        <w:t xml:space="preserve">Ambito </w:t>
      </w:r>
      <w:r>
        <w:rPr>
          <w:rStyle w:val="CollegamentoInternetuser"/>
          <w:rFonts w:eastAsia="Calibri" w:ascii="Times new roman" w:hAnsi="Times new roman"/>
          <w:b/>
          <w:i w:val="false"/>
          <w:caps w:val="false"/>
          <w:smallCaps w:val="false"/>
          <w:strike w:val="false"/>
          <w:dstrike w:val="false"/>
          <w:color w:val="000000"/>
          <w:spacing w:val="0"/>
          <w:sz w:val="20"/>
          <w:szCs w:val="20"/>
          <w:u w:val="single"/>
          <w:effect w:val="none"/>
          <w:shd w:fill="auto" w:val="clear"/>
        </w:rPr>
        <w:t>J:</w:t>
      </w:r>
      <w:r>
        <w:rPr>
          <w:rStyle w:val="CollegamentoInternetuser"/>
          <w:rFonts w:eastAsia="Calibri" w:ascii="Times new roman" w:hAnsi="Times new roman"/>
          <w:b w:val="false"/>
          <w:i w:val="false"/>
          <w:caps w:val="false"/>
          <w:smallCaps w:val="false"/>
          <w:strike w:val="false"/>
          <w:dstrike w:val="false"/>
          <w:color w:val="000000"/>
          <w:spacing w:val="0"/>
          <w:sz w:val="20"/>
          <w:szCs w:val="20"/>
          <w:u w:val="single"/>
          <w:effect w:val="none"/>
          <w:shd w:fill="auto" w:val="clear"/>
        </w:rPr>
        <w:t xml:space="preserve"> </w:t>
      </w:r>
      <w:r>
        <w:rPr>
          <w:rStyle w:val="CollegamentoInternetuser"/>
          <w:rFonts w:eastAsia="Calibri" w:ascii="Times new roman" w:hAnsi="Times new roman"/>
          <w:b/>
          <w:i w:val="false"/>
          <w:caps w:val="false"/>
          <w:smallCaps w:val="false"/>
          <w:strike w:val="false"/>
          <w:dstrike w:val="false"/>
          <w:color w:val="000000"/>
          <w:spacing w:val="0"/>
          <w:sz w:val="20"/>
          <w:szCs w:val="20"/>
          <w:u w:val="single"/>
          <w:effect w:val="none"/>
          <w:shd w:fill="auto" w:val="clear"/>
        </w:rPr>
        <w:t>Promozione della pace e diffusione della cultura dei diritti e loro tutela, anche per la riduzione delle ineguaglianze e delle discriminazioni</w:t>
      </w:r>
    </w:p>
    <w:p>
      <w:pPr>
        <w:pStyle w:val="Normal"/>
        <w:jc w:val="center"/>
        <w:rPr>
          <w:b/>
          <w:sz w:val="20"/>
          <w:szCs w:val="20"/>
          <w:highlight w:val="yellow"/>
        </w:rPr>
      </w:pPr>
      <w:r>
        <w:rPr>
          <w:b/>
          <w:sz w:val="20"/>
          <w:szCs w:val="20"/>
          <w:highlight w:val="yellow"/>
        </w:rPr>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t>PARTECIPAZIONE DI GIOVANI CON MINORI OPPORTUNITA’</w:t>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t xml:space="preserve"> </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Categoria di Minore Opportunità</w:t>
      </w:r>
      <w:r>
        <w:rPr>
          <w:sz w:val="20"/>
          <w:szCs w:val="20"/>
        </w:rPr>
        <w:t>: Difficoltà Economiche</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N. posti GMO</w:t>
      </w:r>
      <w:r>
        <w:rPr>
          <w:sz w:val="20"/>
          <w:szCs w:val="20"/>
        </w:rPr>
        <w:t>: 1</w:t>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Documento che attesta l’appartenenza del giovane alla tipologia di minore opportunità individuata</w:t>
      </w:r>
      <w:r>
        <w:rPr>
          <w:sz w:val="20"/>
          <w:szCs w:val="20"/>
        </w:rPr>
        <w:t>: certificazione</w:t>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r>
    </w:p>
    <w:p>
      <w:pPr>
        <w:pStyle w:val="Normal"/>
        <w:pBdr>
          <w:top w:val="single" w:sz="4" w:space="1" w:color="000000"/>
          <w:left w:val="single" w:sz="4" w:space="4" w:color="000000"/>
          <w:bottom w:val="single" w:sz="4" w:space="1" w:color="000000"/>
          <w:right w:val="single" w:sz="4" w:space="4" w:color="000000"/>
        </w:pBdr>
        <w:rPr>
          <w:b/>
          <w:bCs/>
          <w:sz w:val="20"/>
          <w:szCs w:val="20"/>
        </w:rPr>
      </w:pPr>
      <w:r>
        <w:rPr>
          <w:b/>
          <w:bCs/>
          <w:sz w:val="20"/>
          <w:szCs w:val="20"/>
        </w:rPr>
        <w:t>Specifica documento che attesta l’appartenenza del giovane alla tipologia di minore opportunità individuata</w:t>
      </w:r>
    </w:p>
    <w:p>
      <w:pPr>
        <w:pStyle w:val="Normal"/>
        <w:pBdr>
          <w:top w:val="single" w:sz="4" w:space="1" w:color="000000"/>
          <w:left w:val="single" w:sz="4" w:space="4" w:color="000000"/>
          <w:bottom w:val="single" w:sz="4" w:space="1" w:color="000000"/>
          <w:right w:val="single" w:sz="4" w:space="4" w:color="000000"/>
        </w:pBdr>
        <w:rPr>
          <w:b/>
          <w:sz w:val="20"/>
          <w:szCs w:val="20"/>
        </w:rPr>
      </w:pPr>
      <w:r>
        <w:rPr>
          <w:sz w:val="20"/>
          <w:szCs w:val="20"/>
        </w:rPr>
        <w:t>Le difficoltà economiche sono desumibili da certificazione che riporti un valore ISEE inferiore o pari alla soglia di 15.000 euro. Per ottenere la certificazione ISEE ci si può rivolgere direttamente ai Centri di Assistenza Fiscale (CAF/Patronati), oppure all’INPS con accesso servizio online dedicato.</w:t>
      </w:r>
    </w:p>
    <w:p>
      <w:pPr>
        <w:pStyle w:val="Normal"/>
        <w:rPr>
          <w:b/>
          <w:sz w:val="20"/>
          <w:szCs w:val="20"/>
          <w:highlight w:val="yellow"/>
        </w:rPr>
      </w:pPr>
      <w:r>
        <w:rPr>
          <w:b/>
          <w:sz w:val="20"/>
          <w:szCs w:val="20"/>
          <w:highlight w:val="yellow"/>
        </w:rPr>
      </w:r>
    </w:p>
    <w:p>
      <w:pPr>
        <w:pStyle w:val="Normal"/>
        <w:pBdr>
          <w:top w:val="single" w:sz="4" w:space="1" w:color="000000"/>
          <w:left w:val="single" w:sz="4" w:space="4" w:color="000000"/>
          <w:bottom w:val="single" w:sz="4" w:space="1" w:color="000000"/>
          <w:right w:val="single" w:sz="4" w:space="4" w:color="000000"/>
        </w:pBdr>
        <w:rPr>
          <w:b/>
          <w:sz w:val="20"/>
          <w:szCs w:val="20"/>
        </w:rPr>
      </w:pPr>
      <w:r>
        <w:rPr>
          <w:b/>
          <w:sz w:val="20"/>
          <w:szCs w:val="20"/>
        </w:rPr>
        <w:t xml:space="preserve">SVOLGIMENTO DI UN PERIODO DI TUTORAGGIO </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Mesi Previsti Tutoraggio</w:t>
      </w:r>
      <w:r>
        <w:rPr>
          <w:bCs/>
          <w:sz w:val="20"/>
          <w:szCs w:val="20"/>
        </w:rPr>
        <w:t>: 3</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N° ore collettive</w:t>
      </w:r>
      <w:r>
        <w:rPr>
          <w:bCs/>
          <w:sz w:val="20"/>
          <w:szCs w:val="20"/>
        </w:rPr>
        <w:t>: 20</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N° ore individuali</w:t>
      </w:r>
      <w:r>
        <w:rPr>
          <w:bCs/>
          <w:sz w:val="20"/>
          <w:szCs w:val="20"/>
        </w:rPr>
        <w:t>: 4</w:t>
      </w:r>
    </w:p>
    <w:p>
      <w:pPr>
        <w:pStyle w:val="Normal"/>
        <w:pBdr>
          <w:top w:val="single" w:sz="4" w:space="1" w:color="000000"/>
          <w:left w:val="single" w:sz="4" w:space="4" w:color="000000"/>
          <w:bottom w:val="single" w:sz="4" w:space="1" w:color="000000"/>
          <w:right w:val="single" w:sz="4" w:space="4" w:color="000000"/>
        </w:pBdr>
        <w:rPr>
          <w:b/>
          <w:sz w:val="20"/>
          <w:szCs w:val="20"/>
        </w:rPr>
      </w:pPr>
      <w:r>
        <w:rPr>
          <w:b/>
          <w:bCs/>
          <w:sz w:val="20"/>
          <w:szCs w:val="20"/>
        </w:rPr>
        <w:t>Tot ore</w:t>
      </w:r>
      <w:r>
        <w:rPr>
          <w:bCs/>
          <w:sz w:val="20"/>
          <w:szCs w:val="20"/>
        </w:rPr>
        <w:t>: 24</w:t>
      </w:r>
    </w:p>
    <w:p>
      <w:pPr>
        <w:pStyle w:val="Normal"/>
        <w:ind w:hanging="0" w:start="785"/>
        <w:rPr>
          <w:b/>
          <w:sz w:val="20"/>
          <w:szCs w:val="20"/>
        </w:rPr>
      </w:pPr>
      <w:r>
        <w:rPr>
          <w:b/>
          <w:sz w:val="20"/>
          <w:szCs w:val="20"/>
        </w:rPr>
      </w:r>
    </w:p>
    <w:p>
      <w:pPr>
        <w:pStyle w:val="Normal"/>
        <w:rPr/>
      </w:pPr>
      <w:r>
        <w:rPr/>
      </w:r>
    </w:p>
    <w:sectPr>
      <w:type w:val="nextPage"/>
      <w:pgSz w:w="11906" w:h="16838"/>
      <w:pgMar w:left="1134" w:right="1418" w:gutter="0" w:header="0" w:top="709"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Liberation Sans">
    <w:altName w:val="Arial"/>
    <w:charset w:val="01" w:characterSet="utf-8"/>
    <w:family w:val="roman"/>
    <w:pitch w:val="variable"/>
  </w:font>
  <w:font w:name="Times New Roman">
    <w:altName w:val="serif"/>
    <w:charset w:val="01" w:characterSet="utf-8"/>
    <w:family w:val="roman"/>
    <w:pitch w:val="variable"/>
  </w:font>
  <w:font w:name="Times new roman">
    <w:charset w:val="01" w:characterSet="utf-8"/>
    <w:family w:val="roman"/>
    <w:pitch w:val="variable"/>
  </w:font>
</w:fonts>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811b6"/>
    <w:pPr>
      <w:widowControl/>
      <w:suppressAutoHyphens w:val="true"/>
      <w:bidi w:val="0"/>
      <w:spacing w:before="0" w:after="0"/>
      <w:jc w:val="start"/>
    </w:pPr>
    <w:rPr>
      <w:rFonts w:ascii="Times New Roman" w:hAnsi="Times New Roman" w:eastAsia="Times New Roman" w:cs="Times New Roman"/>
      <w:color w:val="auto"/>
      <w:kern w:val="0"/>
      <w:sz w:val="24"/>
      <w:szCs w:val="24"/>
      <w:lang w:val="it-IT" w:eastAsia="it-IT" w:bidi="ar-SA"/>
    </w:rPr>
  </w:style>
  <w:style w:type="character" w:styleId="DefaultParagraphFont" w:default="1">
    <w:name w:val="Default Paragraph Font"/>
    <w:uiPriority w:val="1"/>
    <w:semiHidden/>
    <w:unhideWhenUsed/>
    <w:qFormat/>
    <w:rPr/>
  </w:style>
  <w:style w:type="character" w:styleId="PidipaginaCarattere" w:customStyle="1">
    <w:name w:val="Piè di pagina Carattere"/>
    <w:basedOn w:val="DefaultParagraphFont"/>
    <w:uiPriority w:val="99"/>
    <w:qFormat/>
    <w:rsid w:val="0098643d"/>
    <w:rPr>
      <w:rFonts w:ascii="Times New Roman" w:hAnsi="Times New Roman" w:eastAsia="Times New Roman" w:cs="Times New Roman"/>
      <w:lang w:val="x-none" w:eastAsia="x-none"/>
    </w:rPr>
  </w:style>
  <w:style w:type="character" w:styleId="CommentReference">
    <w:name w:val="annotation reference"/>
    <w:basedOn w:val="DefaultParagraphFont"/>
    <w:qFormat/>
    <w:rsid w:val="0098643d"/>
    <w:rPr>
      <w:sz w:val="16"/>
      <w:szCs w:val="16"/>
    </w:rPr>
  </w:style>
  <w:style w:type="character" w:styleId="TestocommentoCarattere" w:customStyle="1">
    <w:name w:val="Testo commento Carattere"/>
    <w:basedOn w:val="DefaultParagraphFont"/>
    <w:uiPriority w:val="99"/>
    <w:semiHidden/>
    <w:qFormat/>
    <w:rsid w:val="0084210e"/>
    <w:rPr>
      <w:rFonts w:ascii="Times New Roman" w:hAnsi="Times New Roman" w:eastAsia="Times New Roman" w:cs="Times New Roman"/>
      <w:sz w:val="20"/>
      <w:szCs w:val="20"/>
      <w:lang w:val="it-IT" w:eastAsia="it-IT"/>
    </w:rPr>
  </w:style>
  <w:style w:type="character" w:styleId="SoggettocommentoCarattere" w:customStyle="1">
    <w:name w:val="Soggetto commento Carattere"/>
    <w:basedOn w:val="TestocommentoCarattere"/>
    <w:link w:val="annotationsubject"/>
    <w:uiPriority w:val="99"/>
    <w:semiHidden/>
    <w:qFormat/>
    <w:rsid w:val="0084210e"/>
    <w:rPr>
      <w:rFonts w:ascii="Times New Roman" w:hAnsi="Times New Roman" w:eastAsia="Times New Roman" w:cs="Times New Roman"/>
      <w:b/>
      <w:bCs/>
      <w:sz w:val="20"/>
      <w:szCs w:val="20"/>
      <w:lang w:val="it-IT" w:eastAsia="it-IT"/>
    </w:rPr>
  </w:style>
  <w:style w:type="character" w:styleId="IntestazioneCarattere" w:customStyle="1">
    <w:name w:val="Intestazione Carattere"/>
    <w:basedOn w:val="DefaultParagraphFont"/>
    <w:uiPriority w:val="99"/>
    <w:qFormat/>
    <w:rsid w:val="00252a79"/>
    <w:rPr>
      <w:rFonts w:ascii="Times New Roman" w:hAnsi="Times New Roman" w:eastAsia="Times New Roman" w:cs="Times New Roman"/>
      <w:lang w:val="it-IT" w:eastAsia="it-IT"/>
    </w:rPr>
  </w:style>
  <w:style w:type="character" w:styleId="CollegamentoInternetuser">
    <w:name w:val="Collegamento Internet (user)"/>
    <w:qFormat/>
    <w:rPr>
      <w:color w:val="000080"/>
      <w:u w:val="single"/>
    </w:rPr>
  </w:style>
  <w:style w:type="character" w:styleId="CollegamentoInternetvisitatouser">
    <w:name w:val="Collegamento Internet visitato (user)"/>
    <w:qFormat/>
    <w:rPr>
      <w:color w:val="800000"/>
      <w:u w:val="single"/>
    </w:rPr>
  </w:style>
  <w:style w:type="character" w:styleId="Hyperlink">
    <w:name w:val="Hyperlink"/>
    <w:rPr>
      <w:color w:val="000080"/>
      <w:u w:val="single"/>
    </w:rPr>
  </w:style>
  <w:style w:type="paragraph" w:styleId="Titolo">
    <w:name w:val="Titolo"/>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ice">
    <w:name w:val="Indice"/>
    <w:basedOn w:val="Normal"/>
    <w:qFormat/>
    <w:pPr>
      <w:suppressLineNumbers/>
    </w:pPr>
    <w:rPr>
      <w:rFonts w:cs="Noto Sans Devanagari"/>
    </w:rPr>
  </w:style>
  <w:style w:type="paragraph" w:styleId="Titolouser">
    <w:name w:val="Titolo (user)"/>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Indiceuser">
    <w:name w:val="Indice (user)"/>
    <w:basedOn w:val="Normal"/>
    <w:qFormat/>
    <w:pPr>
      <w:suppressLineNumbers/>
    </w:pPr>
    <w:rPr>
      <w:rFonts w:cs="Noto Sans Devanagari"/>
    </w:rPr>
  </w:style>
  <w:style w:type="paragraph" w:styleId="Intestazioneepidipaginauser">
    <w:name w:val="Intestazione e piè di pagina (user)"/>
    <w:basedOn w:val="Normal"/>
    <w:qFormat/>
    <w:pPr/>
    <w:rPr/>
  </w:style>
  <w:style w:type="paragraph" w:styleId="Intestazioneepidipagina">
    <w:name w:val="Intestazione e piè di pagina"/>
    <w:basedOn w:val="Normal"/>
    <w:qFormat/>
    <w:pPr/>
    <w:rPr/>
  </w:style>
  <w:style w:type="paragraph" w:styleId="Footer">
    <w:name w:val="footer"/>
    <w:basedOn w:val="Normal"/>
    <w:link w:val="PidipaginaCarattere"/>
    <w:uiPriority w:val="99"/>
    <w:rsid w:val="0098643d"/>
    <w:pPr>
      <w:tabs>
        <w:tab w:val="clear" w:pos="720"/>
        <w:tab w:val="center" w:pos="4819" w:leader="none"/>
        <w:tab w:val="right" w:pos="9638" w:leader="none"/>
      </w:tabs>
    </w:pPr>
    <w:rPr>
      <w:lang w:val="x-none" w:eastAsia="x-none"/>
    </w:rPr>
  </w:style>
  <w:style w:type="paragraph" w:styleId="CommentText">
    <w:name w:val="annotation text"/>
    <w:basedOn w:val="Normal"/>
    <w:link w:val="TestocommentoCarattere"/>
    <w:uiPriority w:val="99"/>
    <w:semiHidden/>
    <w:unhideWhenUsed/>
    <w:qFormat/>
    <w:rsid w:val="0084210e"/>
    <w:pPr/>
    <w:rPr>
      <w:sz w:val="20"/>
      <w:szCs w:val="20"/>
    </w:rPr>
  </w:style>
  <w:style w:type="paragraph" w:styleId="annotationsubject">
    <w:name w:val="annotation subject"/>
    <w:basedOn w:val="CommentText"/>
    <w:next w:val="CommentText"/>
    <w:link w:val="SoggettocommentoCarattere"/>
    <w:uiPriority w:val="99"/>
    <w:semiHidden/>
    <w:unhideWhenUsed/>
    <w:qFormat/>
    <w:rsid w:val="0084210e"/>
    <w:pPr/>
    <w:rPr>
      <w:b/>
      <w:bCs/>
    </w:rPr>
  </w:style>
  <w:style w:type="paragraph" w:styleId="Header">
    <w:name w:val="header"/>
    <w:basedOn w:val="Normal"/>
    <w:link w:val="IntestazioneCarattere"/>
    <w:uiPriority w:val="99"/>
    <w:unhideWhenUsed/>
    <w:rsid w:val="00252a79"/>
    <w:pPr>
      <w:tabs>
        <w:tab w:val="clear" w:pos="720"/>
        <w:tab w:val="center" w:pos="4819" w:leader="none"/>
        <w:tab w:val="right" w:pos="9638" w:leader="none"/>
      </w:tabs>
    </w:pPr>
    <w:rPr/>
  </w:style>
  <w:style w:type="paragraph" w:styleId="Contenutotabellauser">
    <w:name w:val="Contenuto tabella (user)"/>
    <w:basedOn w:val="Normal"/>
    <w:qFormat/>
    <w:pPr>
      <w:widowControl w:val="false"/>
      <w:suppressLineNumbers/>
    </w:pPr>
    <w:rPr/>
  </w:style>
  <w:style w:type="paragraph" w:styleId="Titolotabellauser">
    <w:name w:val="Titolo tabella (user)"/>
    <w:basedOn w:val="Contenutotabellauser"/>
    <w:qFormat/>
    <w:pPr>
      <w:suppressLineNumbers/>
      <w:jc w:val="center"/>
    </w:pPr>
    <w:rPr>
      <w:b/>
      <w:bCs/>
    </w:rPr>
  </w:style>
  <w:style w:type="paragraph" w:styleId="Contenutotabella">
    <w:name w:val="Contenuto tabella"/>
    <w:basedOn w:val="Normal"/>
    <w:qFormat/>
    <w:pPr>
      <w:widowControl w:val="false"/>
      <w:suppressLineNumbers/>
    </w:pPr>
    <w:rPr/>
  </w:style>
  <w:style w:type="paragraph" w:styleId="Titolotabella">
    <w:name w:val="Titolo tabella"/>
    <w:basedOn w:val="Contenutotabella"/>
    <w:qFormat/>
    <w:pPr>
      <w:suppressLineNumbers/>
      <w:jc w:val="center"/>
    </w:pPr>
    <w:rPr>
      <w:b/>
      <w:bCs/>
    </w:rPr>
  </w:style>
  <w:style w:type="numbering" w:styleId="Nessunelencouser" w:default="1">
    <w:name w:val="Nessun elenco (user)"/>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jpeg"/><Relationship Id="rId5" Type="http://schemas.openxmlformats.org/officeDocument/2006/relationships/image" Target="media/image4.png"/><Relationship Id="rId6" Type="http://schemas.openxmlformats.org/officeDocument/2006/relationships/hyperlink" Target="https://www.cipsi.it/wp-content/uploads/2023/12/criteri-selezioni-SCU-CIPSI_2024.pdf"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202</TotalTime>
  <Application>LibreOffice/25.8.5.2$Linux_X86_64 LibreOffice_project/252c20f6956e3db0b52e6e2f9dda67263513c8fc</Application>
  <AppVersion>15.0000</AppVersion>
  <Pages>8</Pages>
  <Words>4104</Words>
  <Characters>25255</Characters>
  <CharactersWithSpaces>29534</CharactersWithSpaces>
  <Paragraphs>213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2022-12-05T14:05:00Z</dcterms:created>
  <dc:creator>LUCA DE CAROLIS</dc:creator>
  <dc:description/>
  <dc:language>it-IT</dc:language>
  <cp:lastModifiedBy/>
  <dcterms:modified xsi:type="dcterms:W3CDTF">2026-02-26T09:41:22Z</dcterms:modified>
  <cp:revision>45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97a60d-5525-435b-8989-8eb48ac0c8cd_ActionId">
    <vt:lpwstr>1aa9a350-c60c-487d-8415-8bbd8b01d5d8</vt:lpwstr>
  </property>
  <property fmtid="{D5CDD505-2E9C-101B-9397-08002B2CF9AE}" pid="3" name="MSIP_Label_5097a60d-5525-435b-8989-8eb48ac0c8cd_ContentBits">
    <vt:lpwstr>0</vt:lpwstr>
  </property>
  <property fmtid="{D5CDD505-2E9C-101B-9397-08002B2CF9AE}" pid="4" name="MSIP_Label_5097a60d-5525-435b-8989-8eb48ac0c8cd_Enabled">
    <vt:lpwstr>true</vt:lpwstr>
  </property>
  <property fmtid="{D5CDD505-2E9C-101B-9397-08002B2CF9AE}" pid="5" name="MSIP_Label_5097a60d-5525-435b-8989-8eb48ac0c8cd_Method">
    <vt:lpwstr>Standard</vt:lpwstr>
  </property>
  <property fmtid="{D5CDD505-2E9C-101B-9397-08002B2CF9AE}" pid="6" name="MSIP_Label_5097a60d-5525-435b-8989-8eb48ac0c8cd_Name">
    <vt:lpwstr>defa4170-0d19-0005-0004-bc88714345d2</vt:lpwstr>
  </property>
  <property fmtid="{D5CDD505-2E9C-101B-9397-08002B2CF9AE}" pid="7" name="MSIP_Label_5097a60d-5525-435b-8989-8eb48ac0c8cd_SetDate">
    <vt:lpwstr>2022-10-13T13:22:26Z</vt:lpwstr>
  </property>
  <property fmtid="{D5CDD505-2E9C-101B-9397-08002B2CF9AE}" pid="8" name="MSIP_Label_5097a60d-5525-435b-8989-8eb48ac0c8cd_SiteId">
    <vt:lpwstr>3e90938b-8b27-4762-b4e8-006a8127a119</vt:lpwstr>
  </property>
</Properties>
</file>